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6A0" w:firstRow="1" w:lastRow="0" w:firstColumn="1" w:lastColumn="0" w:noHBand="1" w:noVBand="1"/>
      </w:tblPr>
      <w:tblGrid>
        <w:gridCol w:w="1435"/>
        <w:gridCol w:w="5851"/>
        <w:gridCol w:w="5664"/>
      </w:tblGrid>
      <w:tr w:rsidR="00354AFB" w14:paraId="1D94B6CF" w14:textId="77777777" w:rsidTr="00354AFB">
        <w:trPr>
          <w:trHeight w:val="300"/>
        </w:trPr>
        <w:tc>
          <w:tcPr>
            <w:tcW w:w="5000" w:type="pct"/>
            <w:gridSpan w:val="3"/>
            <w:shd w:val="clear" w:color="auto" w:fill="0070C0"/>
          </w:tcPr>
          <w:p w14:paraId="6A88CFB1" w14:textId="26342377" w:rsidR="00354AFB" w:rsidRPr="00354AFB" w:rsidRDefault="00354AFB" w:rsidP="2BFA6E2C">
            <w:pPr>
              <w:rPr>
                <w:b/>
                <w:bCs/>
              </w:rPr>
            </w:pPr>
            <w:r w:rsidRPr="00354AFB">
              <w:rPr>
                <w:b/>
                <w:bCs/>
                <w:color w:val="FFFFFF" w:themeColor="background1"/>
              </w:rPr>
              <w:t>26-04-NBR</w:t>
            </w:r>
          </w:p>
        </w:tc>
      </w:tr>
      <w:tr w:rsidR="2BFA6E2C" w14:paraId="067447DB" w14:textId="77777777" w:rsidTr="00354AFB">
        <w:trPr>
          <w:trHeight w:val="300"/>
        </w:trPr>
        <w:tc>
          <w:tcPr>
            <w:tcW w:w="554" w:type="pct"/>
          </w:tcPr>
          <w:p w14:paraId="21534A79" w14:textId="6EF9E9A8" w:rsidR="50165D74" w:rsidRPr="00354AFB" w:rsidRDefault="00354AFB" w:rsidP="2BFA6E2C">
            <w:pPr>
              <w:rPr>
                <w:b/>
                <w:bCs/>
              </w:rPr>
            </w:pPr>
            <w:r w:rsidRPr="00354AFB">
              <w:rPr>
                <w:b/>
                <w:bCs/>
              </w:rPr>
              <w:t>Question #</w:t>
            </w:r>
          </w:p>
        </w:tc>
        <w:tc>
          <w:tcPr>
            <w:tcW w:w="2259" w:type="pct"/>
          </w:tcPr>
          <w:p w14:paraId="153CD966" w14:textId="0485BF95" w:rsidR="50165D74" w:rsidRPr="00354AFB" w:rsidRDefault="50165D74" w:rsidP="2BFA6E2C">
            <w:pPr>
              <w:rPr>
                <w:b/>
                <w:bCs/>
              </w:rPr>
            </w:pPr>
            <w:r w:rsidRPr="00354AFB">
              <w:rPr>
                <w:b/>
                <w:bCs/>
              </w:rPr>
              <w:t>Question</w:t>
            </w:r>
          </w:p>
        </w:tc>
        <w:tc>
          <w:tcPr>
            <w:tcW w:w="2187" w:type="pct"/>
          </w:tcPr>
          <w:p w14:paraId="5EA87461" w14:textId="6DA2E66C" w:rsidR="50165D74" w:rsidRPr="00354AFB" w:rsidRDefault="50165D74" w:rsidP="2BFA6E2C">
            <w:pPr>
              <w:rPr>
                <w:b/>
                <w:bCs/>
              </w:rPr>
            </w:pPr>
            <w:r w:rsidRPr="00354AFB">
              <w:rPr>
                <w:b/>
                <w:bCs/>
              </w:rPr>
              <w:t>Response</w:t>
            </w:r>
          </w:p>
        </w:tc>
      </w:tr>
      <w:tr w:rsidR="2BFA6E2C" w14:paraId="7CC2D5DE" w14:textId="77777777" w:rsidTr="00354AFB">
        <w:trPr>
          <w:trHeight w:val="300"/>
        </w:trPr>
        <w:tc>
          <w:tcPr>
            <w:tcW w:w="554" w:type="pct"/>
          </w:tcPr>
          <w:p w14:paraId="41B7340F" w14:textId="42CDB807" w:rsidR="2BFA6E2C" w:rsidRDefault="002549FD" w:rsidP="2BFA6E2C">
            <w:r>
              <w:t>1</w:t>
            </w:r>
          </w:p>
        </w:tc>
        <w:tc>
          <w:tcPr>
            <w:tcW w:w="2259" w:type="pct"/>
          </w:tcPr>
          <w:p w14:paraId="32917526" w14:textId="5457B3AA" w:rsidR="2BFA6E2C" w:rsidRDefault="002759D5" w:rsidP="2BFA6E2C">
            <w:r w:rsidRPr="002759D5">
              <w:t>Is this “</w:t>
            </w:r>
            <w:proofErr w:type="spellStart"/>
            <w:r w:rsidRPr="002759D5">
              <w:t>bondability</w:t>
            </w:r>
            <w:proofErr w:type="spellEnd"/>
            <w:r w:rsidRPr="002759D5">
              <w:t xml:space="preserve">” letter only required for the anticipated construction company that will perform the work or is it also required for the Performer?  The RPP defines the Performer as the company submitting the proposal.  It is not industry standard for the operating company </w:t>
            </w:r>
            <w:proofErr w:type="gramStart"/>
            <w:r w:rsidRPr="002759D5">
              <w:t>hiring</w:t>
            </w:r>
            <w:proofErr w:type="gramEnd"/>
            <w:r w:rsidRPr="002759D5">
              <w:t xml:space="preserve"> a construction company to perform work to also need a bond letter.</w:t>
            </w:r>
          </w:p>
        </w:tc>
        <w:tc>
          <w:tcPr>
            <w:tcW w:w="2187" w:type="pct"/>
          </w:tcPr>
          <w:p w14:paraId="737EC36E" w14:textId="1BE4D283" w:rsidR="2BFA6E2C" w:rsidRPr="003A0184" w:rsidRDefault="008F6BDB" w:rsidP="2BFA6E2C">
            <w:pPr>
              <w:rPr>
                <w:rFonts w:cs="Times New Roman"/>
              </w:rPr>
            </w:pPr>
            <w:r w:rsidRPr="003A0184">
              <w:rPr>
                <w:rFonts w:cs="Times New Roman"/>
              </w:rPr>
              <w:t xml:space="preserve">While we recognize industry conventions where only the construction contractor holds the bond, this federal program requires the </w:t>
            </w:r>
            <w:r w:rsidR="00D17B36">
              <w:rPr>
                <w:rFonts w:cs="Times New Roman"/>
              </w:rPr>
              <w:t xml:space="preserve">Performer </w:t>
            </w:r>
            <w:r w:rsidR="00D17B36" w:rsidRPr="003A0184">
              <w:rPr>
                <w:rFonts w:cs="Times New Roman"/>
              </w:rPr>
              <w:t>to</w:t>
            </w:r>
            <w:r w:rsidRPr="003A0184">
              <w:rPr>
                <w:rFonts w:cs="Times New Roman"/>
              </w:rPr>
              <w:t xml:space="preserve"> demonstrate </w:t>
            </w:r>
            <w:r w:rsidR="00854E3C" w:rsidRPr="003A0184">
              <w:rPr>
                <w:rFonts w:cs="Times New Roman"/>
              </w:rPr>
              <w:t>fi</w:t>
            </w:r>
            <w:r w:rsidR="00854E3C">
              <w:rPr>
                <w:rFonts w:cs="Times New Roman"/>
              </w:rPr>
              <w:t>nancial</w:t>
            </w:r>
            <w:r w:rsidRPr="003A0184">
              <w:rPr>
                <w:rFonts w:cs="Times New Roman"/>
              </w:rPr>
              <w:t xml:space="preserve"> capacity and project completion assurance</w:t>
            </w:r>
            <w:r w:rsidR="007D3685">
              <w:rPr>
                <w:rFonts w:cs="Times New Roman"/>
              </w:rPr>
              <w:t>s</w:t>
            </w:r>
            <w:r w:rsidRPr="003A0184">
              <w:rPr>
                <w:rFonts w:cs="Times New Roman"/>
              </w:rPr>
              <w:t>. If the Performer plans to utilize a sub-performer or construction firm to fulfill th</w:t>
            </w:r>
            <w:r w:rsidR="007D3685">
              <w:rPr>
                <w:rFonts w:cs="Times New Roman"/>
              </w:rPr>
              <w:t>e bonding</w:t>
            </w:r>
            <w:r w:rsidRPr="003A0184">
              <w:rPr>
                <w:rFonts w:cs="Times New Roman"/>
              </w:rPr>
              <w:t xml:space="preserve"> requirement, the </w:t>
            </w:r>
            <w:r w:rsidR="007D3685">
              <w:rPr>
                <w:rFonts w:cs="Times New Roman"/>
              </w:rPr>
              <w:t>Performer’s proposal</w:t>
            </w:r>
            <w:r w:rsidRPr="003A0184">
              <w:rPr>
                <w:rFonts w:cs="Times New Roman"/>
              </w:rPr>
              <w:t xml:space="preserve"> must explicitly detail the relationship, name the </w:t>
            </w:r>
            <w:r w:rsidR="007D3685">
              <w:rPr>
                <w:rFonts w:cs="Times New Roman"/>
              </w:rPr>
              <w:t>construction company, Performer’s relationship with the construction company,</w:t>
            </w:r>
            <w:r w:rsidR="006F5FEC">
              <w:rPr>
                <w:rFonts w:cs="Times New Roman"/>
              </w:rPr>
              <w:t xml:space="preserve"> and include sufficien</w:t>
            </w:r>
            <w:r w:rsidR="006F5FEC" w:rsidRPr="009145F4">
              <w:rPr>
                <w:rFonts w:cs="Times New Roman"/>
              </w:rPr>
              <w:t xml:space="preserve">t details to demonstrate </w:t>
            </w:r>
            <w:r w:rsidR="00D974FD" w:rsidRPr="009145F4">
              <w:rPr>
                <w:rFonts w:cs="Times New Roman"/>
              </w:rPr>
              <w:t xml:space="preserve">financial capacity and project complete assurances.  </w:t>
            </w:r>
            <w:r w:rsidR="000342D7" w:rsidRPr="009145F4">
              <w:rPr>
                <w:rFonts w:cs="Times New Roman"/>
              </w:rPr>
              <w:t xml:space="preserve">For Performer </w:t>
            </w:r>
            <w:r w:rsidR="0063078E" w:rsidRPr="009145F4">
              <w:rPr>
                <w:rFonts w:cs="Times New Roman"/>
              </w:rPr>
              <w:t xml:space="preserve">proposal </w:t>
            </w:r>
            <w:r w:rsidR="000342D7" w:rsidRPr="009145F4">
              <w:rPr>
                <w:rFonts w:cs="Times New Roman"/>
              </w:rPr>
              <w:t xml:space="preserve">planning purposes, the total amount of funding available for NBR </w:t>
            </w:r>
            <w:r w:rsidR="0063078E" w:rsidRPr="009145F4">
              <w:rPr>
                <w:rFonts w:cs="Times New Roman"/>
              </w:rPr>
              <w:t>sub</w:t>
            </w:r>
            <w:r w:rsidR="000342D7" w:rsidRPr="009145F4">
              <w:rPr>
                <w:rFonts w:cs="Times New Roman"/>
              </w:rPr>
              <w:t>awards is $</w:t>
            </w:r>
            <w:r w:rsidR="00BA79EC" w:rsidRPr="009145F4">
              <w:rPr>
                <w:rFonts w:cs="Times New Roman"/>
              </w:rPr>
              <w:t>49.3M</w:t>
            </w:r>
            <w:r w:rsidR="00F966D4" w:rsidRPr="009145F4">
              <w:rPr>
                <w:rFonts w:cs="Times New Roman"/>
              </w:rPr>
              <w:t>.</w:t>
            </w:r>
            <w:r w:rsidR="000342D7" w:rsidRPr="009145F4">
              <w:rPr>
                <w:rFonts w:cs="Times New Roman"/>
              </w:rPr>
              <w:t xml:space="preserve"> </w:t>
            </w:r>
            <w:r w:rsidR="00F966D4">
              <w:t xml:space="preserve"> </w:t>
            </w:r>
            <w:proofErr w:type="gramStart"/>
            <w:r w:rsidR="00F966D4" w:rsidRPr="00F966D4">
              <w:rPr>
                <w:rFonts w:cs="Times New Roman"/>
              </w:rPr>
              <w:t>Funding of</w:t>
            </w:r>
            <w:proofErr w:type="gramEnd"/>
            <w:r w:rsidR="00F966D4" w:rsidRPr="00F966D4">
              <w:rPr>
                <w:rFonts w:cs="Times New Roman"/>
              </w:rPr>
              <w:t xml:space="preserve"> proposals submitted in response to this RPP is contingent upon the availability of federal funds for this program. The Government anticipates making one or more awards under this RPP but reserves the right to make no awards. Offerors are encouraged to propose budgets commensurate with the nature, scope and complexity of the proposed project.</w:t>
            </w:r>
          </w:p>
        </w:tc>
      </w:tr>
      <w:tr w:rsidR="2BFA6E2C" w14:paraId="0787C80B" w14:textId="77777777" w:rsidTr="00354AFB">
        <w:trPr>
          <w:trHeight w:val="300"/>
        </w:trPr>
        <w:tc>
          <w:tcPr>
            <w:tcW w:w="554" w:type="pct"/>
          </w:tcPr>
          <w:p w14:paraId="4F06E3C1" w14:textId="737F2138" w:rsidR="2BFA6E2C" w:rsidRDefault="002759D5" w:rsidP="2BFA6E2C">
            <w:r>
              <w:t>2</w:t>
            </w:r>
          </w:p>
        </w:tc>
        <w:tc>
          <w:tcPr>
            <w:tcW w:w="2259" w:type="pct"/>
          </w:tcPr>
          <w:p w14:paraId="4220C7BB" w14:textId="7A2834D1" w:rsidR="2BFA6E2C" w:rsidRDefault="002759D5" w:rsidP="2BFA6E2C">
            <w:r w:rsidRPr="002759D5">
              <w:t>We have heard that a long-term contract that consolidates U.S. Government purchases of approximately 1.3B gloves annually will be issued within the next 30-60 days. Is there a clause in this contract that will require contract awardees to purchase domestically made NBR if it is available during the contract period?</w:t>
            </w:r>
          </w:p>
        </w:tc>
        <w:tc>
          <w:tcPr>
            <w:tcW w:w="2187" w:type="pct"/>
          </w:tcPr>
          <w:p w14:paraId="1591E8BD" w14:textId="392EEC80" w:rsidR="2BFA6E2C" w:rsidRDefault="000F5598" w:rsidP="2BFA6E2C">
            <w:r>
              <w:t xml:space="preserve">Proposal submissions should not rely on contract requirements that are not </w:t>
            </w:r>
            <w:r w:rsidR="005F61F5">
              <w:t>explicitly r</w:t>
            </w:r>
            <w:r w:rsidR="00D25CE1">
              <w:t xml:space="preserve">equired by </w:t>
            </w:r>
            <w:r w:rsidR="005F61F5">
              <w:t xml:space="preserve">active </w:t>
            </w:r>
            <w:r w:rsidR="00D25CE1">
              <w:t xml:space="preserve">statute, regulation, or an applicable executive order. </w:t>
            </w:r>
          </w:p>
        </w:tc>
      </w:tr>
      <w:tr w:rsidR="2BFA6E2C" w14:paraId="7A778D49" w14:textId="77777777" w:rsidTr="00354AFB">
        <w:trPr>
          <w:trHeight w:val="300"/>
        </w:trPr>
        <w:tc>
          <w:tcPr>
            <w:tcW w:w="554" w:type="pct"/>
          </w:tcPr>
          <w:p w14:paraId="31F21CDF" w14:textId="6F2A65BD" w:rsidR="2BFA6E2C" w:rsidRDefault="002759D5" w:rsidP="2BFA6E2C">
            <w:r>
              <w:lastRenderedPageBreak/>
              <w:t>3</w:t>
            </w:r>
          </w:p>
        </w:tc>
        <w:tc>
          <w:tcPr>
            <w:tcW w:w="2259" w:type="pct"/>
          </w:tcPr>
          <w:p w14:paraId="3A1D21EA" w14:textId="4E1B5A9D" w:rsidR="2BFA6E2C" w:rsidRDefault="002759D5" w:rsidP="2BFA6E2C">
            <w:r w:rsidRPr="002759D5">
              <w:t>Is HHS coordinating with the Commerce Department and U.S. Trade Representative about imposing specific tariffs on foreign made gloves and NBR?</w:t>
            </w:r>
          </w:p>
        </w:tc>
        <w:tc>
          <w:tcPr>
            <w:tcW w:w="2187" w:type="pct"/>
          </w:tcPr>
          <w:p w14:paraId="78B48D0B" w14:textId="4E4FF3AE" w:rsidR="2BFA6E2C" w:rsidRDefault="000C0C49" w:rsidP="2BFA6E2C">
            <w:r>
              <w:t>Proposal</w:t>
            </w:r>
            <w:r w:rsidR="001852A3">
              <w:t xml:space="preserve"> </w:t>
            </w:r>
            <w:r>
              <w:t>submissions</w:t>
            </w:r>
            <w:r w:rsidR="00693069">
              <w:t xml:space="preserve"> should not rely on </w:t>
            </w:r>
            <w:r w:rsidR="005F61F5">
              <w:t xml:space="preserve">speculative </w:t>
            </w:r>
            <w:r w:rsidR="00693069">
              <w:t>int</w:t>
            </w:r>
            <w:r w:rsidR="00126B6D">
              <w:t>er</w:t>
            </w:r>
            <w:r w:rsidR="00693069">
              <w:t>agency coordination</w:t>
            </w:r>
            <w:r w:rsidR="005F61F5">
              <w:t xml:space="preserve"> or anticipated trade policy changes</w:t>
            </w:r>
            <w:r>
              <w:t xml:space="preserve">. </w:t>
            </w:r>
          </w:p>
        </w:tc>
      </w:tr>
      <w:tr w:rsidR="2BFA6E2C" w14:paraId="5488501F" w14:textId="77777777" w:rsidTr="00354AFB">
        <w:trPr>
          <w:trHeight w:val="300"/>
        </w:trPr>
        <w:tc>
          <w:tcPr>
            <w:tcW w:w="554" w:type="pct"/>
          </w:tcPr>
          <w:p w14:paraId="3787F9EA" w14:textId="0A7008FD" w:rsidR="2BFA6E2C" w:rsidRDefault="002759D5" w:rsidP="2BFA6E2C">
            <w:r>
              <w:t>4</w:t>
            </w:r>
          </w:p>
        </w:tc>
        <w:tc>
          <w:tcPr>
            <w:tcW w:w="2259" w:type="pct"/>
          </w:tcPr>
          <w:p w14:paraId="362E7B14" w14:textId="3FC589D0" w:rsidR="2BFA6E2C" w:rsidRDefault="002759D5" w:rsidP="002759D5">
            <w:r>
              <w:t>What is the status of the CY 2027 OPPS/ASC proposed rule (CMS-1850-P, issued July 2, 2026; comments due August 31, 2026</w:t>
            </w:r>
            <w:r w:rsidR="00A754A7">
              <w:t>)?</w:t>
            </w:r>
          </w:p>
          <w:p w14:paraId="20F63006" w14:textId="77777777" w:rsidR="00A754A7" w:rsidRDefault="00A754A7" w:rsidP="002759D5"/>
          <w:p w14:paraId="481F870F" w14:textId="342EDA49" w:rsidR="00A754A7" w:rsidRDefault="00A754A7" w:rsidP="002759D5">
            <w:r w:rsidRPr="00A754A7">
              <w:t>Beyond the rule’s status: what is the specific final per-glove payment adjustment, through what payment vehicle and mechanism does that adjustment reach private purchasers, and will gloves manufactured in the United States from imported NBR qualify? What were the measured private-market adoption results of the comparable prior N95 respirator domestic-preference and reimbursement effort, and what specifically has been changed here to ensure this payment adjustment produces adoption? And may Offerors rely on this mechanism in the plan required by Deliverable 19 — particularly since the RPP identifies no other federal mechanism by which domestically produced gloves are made price-competitive in the private market — the demand on which any new NBR plant depends?</w:t>
            </w:r>
          </w:p>
        </w:tc>
        <w:tc>
          <w:tcPr>
            <w:tcW w:w="2187" w:type="pct"/>
          </w:tcPr>
          <w:p w14:paraId="25F24EC8" w14:textId="57E823D2" w:rsidR="2BFA6E2C" w:rsidRDefault="008F6BDB" w:rsidP="2BFA6E2C">
            <w:r>
              <w:t xml:space="preserve"> </w:t>
            </w:r>
            <w:r w:rsidRPr="008F6BDB">
              <w:t>The</w:t>
            </w:r>
            <w:r w:rsidR="00BB15A5">
              <w:t xml:space="preserve"> status</w:t>
            </w:r>
            <w:r w:rsidR="005F61F5">
              <w:t xml:space="preserve"> </w:t>
            </w:r>
            <w:r w:rsidR="00BB15A5">
              <w:t>of</w:t>
            </w:r>
            <w:r w:rsidRPr="008F6BDB">
              <w:t xml:space="preserve"> CY 2027 OPPS/ASC rule</w:t>
            </w:r>
            <w:r w:rsidR="000055DA">
              <w:t xml:space="preserve"> </w:t>
            </w:r>
            <w:r w:rsidR="00052D13">
              <w:t xml:space="preserve">is </w:t>
            </w:r>
            <w:r w:rsidR="000055DA">
              <w:t xml:space="preserve">outside the scope of this solicitation. </w:t>
            </w:r>
          </w:p>
        </w:tc>
      </w:tr>
      <w:tr w:rsidR="2BFA6E2C" w14:paraId="665F5788" w14:textId="77777777" w:rsidTr="00354AFB">
        <w:trPr>
          <w:trHeight w:val="300"/>
        </w:trPr>
        <w:tc>
          <w:tcPr>
            <w:tcW w:w="554" w:type="pct"/>
          </w:tcPr>
          <w:p w14:paraId="6235E1AB" w14:textId="6B05B7BA" w:rsidR="2BFA6E2C" w:rsidRDefault="002759D5" w:rsidP="2BFA6E2C">
            <w:r>
              <w:t>5</w:t>
            </w:r>
          </w:p>
        </w:tc>
        <w:tc>
          <w:tcPr>
            <w:tcW w:w="2259" w:type="pct"/>
          </w:tcPr>
          <w:p w14:paraId="20327496" w14:textId="4A53C97A" w:rsidR="2BFA6E2C" w:rsidRDefault="002759D5" w:rsidP="2BFA6E2C">
            <w:r w:rsidRPr="002759D5">
              <w:t>What is the status of the Strategic National Stockpile being restocked with nitrile gloves?</w:t>
            </w:r>
          </w:p>
        </w:tc>
        <w:tc>
          <w:tcPr>
            <w:tcW w:w="2187" w:type="pct"/>
          </w:tcPr>
          <w:p w14:paraId="68CA1CFD" w14:textId="5806FB48" w:rsidR="2BFA6E2C" w:rsidRDefault="007D19FF" w:rsidP="2BFA6E2C">
            <w:r>
              <w:t>Performers should use their own resources to obtain publicly available information regarding s</w:t>
            </w:r>
            <w:r w:rsidR="00003980">
              <w:t>tockpile replenishment cycles.</w:t>
            </w:r>
            <w:r>
              <w:t xml:space="preserve"> </w:t>
            </w:r>
          </w:p>
        </w:tc>
      </w:tr>
      <w:tr w:rsidR="00755BE5" w14:paraId="02C8711D" w14:textId="77777777" w:rsidTr="00354AFB">
        <w:trPr>
          <w:trHeight w:val="300"/>
        </w:trPr>
        <w:tc>
          <w:tcPr>
            <w:tcW w:w="554" w:type="pct"/>
          </w:tcPr>
          <w:p w14:paraId="5A9B4EC3" w14:textId="03880F5D" w:rsidR="00755BE5" w:rsidRDefault="00755BE5" w:rsidP="2BFA6E2C">
            <w:r>
              <w:t>6</w:t>
            </w:r>
          </w:p>
        </w:tc>
        <w:tc>
          <w:tcPr>
            <w:tcW w:w="2259" w:type="pct"/>
          </w:tcPr>
          <w:p w14:paraId="13297964" w14:textId="3D35C5D9" w:rsidR="00755BE5" w:rsidRPr="002759D5" w:rsidRDefault="00755BE5" w:rsidP="2BFA6E2C">
            <w:r w:rsidRPr="00755BE5">
              <w:t xml:space="preserve">What is the status of the Strategic National Stockpile being restocked with nitrile gloves? </w:t>
            </w:r>
          </w:p>
        </w:tc>
        <w:tc>
          <w:tcPr>
            <w:tcW w:w="2187" w:type="pct"/>
          </w:tcPr>
          <w:p w14:paraId="3922B00B" w14:textId="4571ACF0" w:rsidR="00755BE5" w:rsidRDefault="00D66D41" w:rsidP="2BFA6E2C">
            <w:r>
              <w:t xml:space="preserve">See the answer to </w:t>
            </w:r>
            <w:r w:rsidR="008F6BDB">
              <w:t xml:space="preserve">question #5 above. </w:t>
            </w:r>
          </w:p>
        </w:tc>
      </w:tr>
      <w:tr w:rsidR="002759D5" w14:paraId="4BDFE6BF" w14:textId="77777777" w:rsidTr="00354AFB">
        <w:trPr>
          <w:trHeight w:val="300"/>
        </w:trPr>
        <w:tc>
          <w:tcPr>
            <w:tcW w:w="554" w:type="pct"/>
          </w:tcPr>
          <w:p w14:paraId="0D1431FF" w14:textId="4FE8B084" w:rsidR="002759D5" w:rsidRDefault="00755BE5" w:rsidP="2BFA6E2C">
            <w:r>
              <w:t>7</w:t>
            </w:r>
          </w:p>
        </w:tc>
        <w:tc>
          <w:tcPr>
            <w:tcW w:w="2259" w:type="pct"/>
          </w:tcPr>
          <w:p w14:paraId="5ACEA8A6" w14:textId="448F8F1A" w:rsidR="002759D5" w:rsidRPr="002759D5" w:rsidRDefault="002759D5" w:rsidP="2BFA6E2C">
            <w:r w:rsidRPr="002759D5">
              <w:t>Is the U.S. government committed to a domestic nitrile glove industry?</w:t>
            </w:r>
          </w:p>
        </w:tc>
        <w:tc>
          <w:tcPr>
            <w:tcW w:w="2187" w:type="pct"/>
          </w:tcPr>
          <w:p w14:paraId="3589C01E" w14:textId="47EFB4F0" w:rsidR="008F6BDB" w:rsidRPr="008F6BDB" w:rsidRDefault="008F6BDB" w:rsidP="008F6BDB">
            <w:r w:rsidRPr="008F6BDB">
              <w:t>This funding vehicle is designed to expand domestic capacity and insulate the nation's public health infrastructure from foreign supply chain disruptions.</w:t>
            </w:r>
          </w:p>
          <w:p w14:paraId="4528DE2B" w14:textId="009C1033" w:rsidR="002759D5" w:rsidRDefault="002759D5" w:rsidP="2BFA6E2C"/>
        </w:tc>
      </w:tr>
      <w:tr w:rsidR="002759D5" w14:paraId="39FFD696" w14:textId="77777777" w:rsidTr="00354AFB">
        <w:trPr>
          <w:trHeight w:val="300"/>
        </w:trPr>
        <w:tc>
          <w:tcPr>
            <w:tcW w:w="554" w:type="pct"/>
          </w:tcPr>
          <w:p w14:paraId="6E494B35" w14:textId="23B67FA1" w:rsidR="002759D5" w:rsidRDefault="00755BE5" w:rsidP="2BFA6E2C">
            <w:r>
              <w:lastRenderedPageBreak/>
              <w:t>8</w:t>
            </w:r>
          </w:p>
        </w:tc>
        <w:tc>
          <w:tcPr>
            <w:tcW w:w="2259" w:type="pct"/>
          </w:tcPr>
          <w:p w14:paraId="4AAAA3D3" w14:textId="77777777" w:rsidR="00A754A7" w:rsidRDefault="00A754A7" w:rsidP="2BFA6E2C">
            <w:r w:rsidRPr="00A754A7">
              <w:t>The Commercial Viability Plan and financial model (RPP §2.1.2.2, Deliverable 19) require ten-year viability projections and a sensitivity analysis addressing NBR market price variance of ±30</w:t>
            </w:r>
            <w:proofErr w:type="gramStart"/>
            <w:r w:rsidRPr="00A754A7">
              <w:t>% —</w:t>
            </w:r>
            <w:proofErr w:type="gramEnd"/>
            <w:r w:rsidRPr="00A754A7">
              <w:t xml:space="preserve"> both of which presuppose a baseline price and demand outlook. Current landed prices reflect subsidized and transshipped supply rather than sustainable production economics: exam gloves entered at about $0.021 per glove in June 2026, roughly 30% below their pre-</w:t>
            </w:r>
            <w:proofErr w:type="gramStart"/>
            <w:r w:rsidRPr="00A754A7">
              <w:t>2020 decade</w:t>
            </w:r>
            <w:proofErr w:type="gramEnd"/>
            <w:r w:rsidRPr="00A754A7">
              <w:t xml:space="preserve"> average, so a band centered on today's prices would embed dumping as the permanent market condition and render domestic proposals unviable by construction. </w:t>
            </w:r>
          </w:p>
          <w:p w14:paraId="4D8A6DDF" w14:textId="77777777" w:rsidR="00A754A7" w:rsidRDefault="00A754A7" w:rsidP="2BFA6E2C"/>
          <w:p w14:paraId="0CD72B97" w14:textId="0F5BBDBB" w:rsidR="002759D5" w:rsidRPr="002759D5" w:rsidRDefault="0028415C" w:rsidP="2BFA6E2C">
            <w:r w:rsidRPr="0028415C">
              <w:t xml:space="preserve">May Offerors incorporate pending federal policy measures — the Section 232 medical supplies remedy, the CMS domestic-PPE payment adjustment under consideration in CMS-1850-P, and any domestic-NBR sourcing requirement in the anticipated consolidated glove procurement — as the price and demand baseline for the Commercial Viability Plan and the sensitivity analysis? If not, what baseline does the Government consider consistent with this RPP's objective of establishing viable domestic NBR capacity, and how will evaluators treat proposals whose viability depends on such </w:t>
            </w:r>
            <w:proofErr w:type="gramStart"/>
            <w:r w:rsidRPr="0028415C">
              <w:t>measures relative to proposals</w:t>
            </w:r>
            <w:proofErr w:type="gramEnd"/>
            <w:r w:rsidRPr="0028415C">
              <w:t xml:space="preserve"> assuming current market conditions?</w:t>
            </w:r>
          </w:p>
        </w:tc>
        <w:tc>
          <w:tcPr>
            <w:tcW w:w="2187" w:type="pct"/>
          </w:tcPr>
          <w:p w14:paraId="2BA48F94" w14:textId="5D5C84DF" w:rsidR="005F61F5" w:rsidRDefault="005F61F5" w:rsidP="2BFA6E2C">
            <w:r>
              <w:t xml:space="preserve">For the Commercial Viability Plan and financial model, Offerors must establish and justify their own baseline price and demand outlook using verifiable historical indices, market research, and current commercial market conditions. </w:t>
            </w:r>
          </w:p>
          <w:p w14:paraId="435EFAE0" w14:textId="77777777" w:rsidR="005F61F5" w:rsidRDefault="005F61F5" w:rsidP="2BFA6E2C"/>
          <w:p w14:paraId="35AFF2BC" w14:textId="41624391" w:rsidR="00C92213" w:rsidRDefault="005F61F5" w:rsidP="2BFA6E2C">
            <w:r>
              <w:t xml:space="preserve">No, Offerors may not incorporate pending federal policy measures or anticipated trade remedies as their baseline economic assumptions. </w:t>
            </w:r>
          </w:p>
        </w:tc>
      </w:tr>
      <w:tr w:rsidR="0028415C" w14:paraId="1DEFAF37" w14:textId="77777777" w:rsidTr="00354AFB">
        <w:trPr>
          <w:trHeight w:val="300"/>
        </w:trPr>
        <w:tc>
          <w:tcPr>
            <w:tcW w:w="554" w:type="pct"/>
          </w:tcPr>
          <w:p w14:paraId="4455944F" w14:textId="4A9209EA" w:rsidR="0028415C" w:rsidRDefault="00755BE5" w:rsidP="2BFA6E2C">
            <w:r>
              <w:t>9</w:t>
            </w:r>
          </w:p>
        </w:tc>
        <w:tc>
          <w:tcPr>
            <w:tcW w:w="2259" w:type="pct"/>
          </w:tcPr>
          <w:p w14:paraId="5B784889" w14:textId="77777777" w:rsidR="0028415C" w:rsidRDefault="0028415C" w:rsidP="2BFA6E2C">
            <w:r w:rsidRPr="0028415C">
              <w:t>How is an Offeror to model ten years of commercial viability with zero assumed government demand?</w:t>
            </w:r>
          </w:p>
          <w:p w14:paraId="222778A9" w14:textId="5EF84BBF" w:rsidR="00755BE5" w:rsidRPr="0028415C" w:rsidRDefault="00755BE5" w:rsidP="2BFA6E2C">
            <w:r w:rsidRPr="00755BE5">
              <w:lastRenderedPageBreak/>
              <w:t>Deliverable 19 (Attachment A, Section 4) requires a plan that “ensures the long-term commercial viability without relying on government funding or government purchase orders,” and §2.1.2.2 requires that plan to address both steady-state and surge demands for NBR, yet Section 2.5 obligates the Performer to provide the Government priority access to the funded capacity in a public health emergency and to prioritize U.S. market demand for NBR ahead of global demand for ten years after the period of performance ends — and the companion RPP 26-09-Gloves quantifies the federal surge deficit at 15 billion gloves.</w:t>
            </w:r>
          </w:p>
        </w:tc>
        <w:tc>
          <w:tcPr>
            <w:tcW w:w="2187" w:type="pct"/>
          </w:tcPr>
          <w:p w14:paraId="5F4CBCB1" w14:textId="575832AF" w:rsidR="0028415C" w:rsidRDefault="00143E4A" w:rsidP="2BFA6E2C">
            <w:r>
              <w:lastRenderedPageBreak/>
              <w:t xml:space="preserve">The requirement is for </w:t>
            </w:r>
            <w:r w:rsidR="00DA0735">
              <w:t>Perf</w:t>
            </w:r>
            <w:r>
              <w:t xml:space="preserve">ormers to model </w:t>
            </w:r>
            <w:r w:rsidR="00FB7CA1" w:rsidRPr="008F6BDB">
              <w:t xml:space="preserve">domestic private-sector demand (such as industrial, </w:t>
            </w:r>
            <w:r w:rsidR="00FB7CA1" w:rsidRPr="008F6BDB">
              <w:lastRenderedPageBreak/>
              <w:t>commercial, and non-governmental healthcare sectors)</w:t>
            </w:r>
            <w:r w:rsidR="00307192">
              <w:t xml:space="preserve">. </w:t>
            </w:r>
            <w:r w:rsidR="00BE6BCD">
              <w:t xml:space="preserve">Performers </w:t>
            </w:r>
            <w:r w:rsidR="00411647">
              <w:t>may include</w:t>
            </w:r>
            <w:r w:rsidR="002E55E7">
              <w:t xml:space="preserve"> assumptions regarding government demand based on publicly available information. </w:t>
            </w:r>
            <w:r w:rsidR="00307192">
              <w:t>However, t</w:t>
            </w:r>
            <w:r w:rsidR="008F6BDB" w:rsidRPr="008F6BDB">
              <w:t xml:space="preserve">he financial model should treat government purchase mandates as a potential upside rather than a core survival requirement. The mandate in Deliverable 19 </w:t>
            </w:r>
            <w:r w:rsidR="00411647">
              <w:t>requires</w:t>
            </w:r>
            <w:r w:rsidR="008F6BDB" w:rsidRPr="008F6BDB">
              <w:t xml:space="preserve"> a </w:t>
            </w:r>
            <w:r w:rsidR="00BA79EC">
              <w:t xml:space="preserve">model </w:t>
            </w:r>
            <w:r w:rsidR="00BA79EC" w:rsidRPr="008F6BDB">
              <w:t>that</w:t>
            </w:r>
            <w:r w:rsidR="008F6BDB" w:rsidRPr="008F6BDB">
              <w:t xml:space="preserve"> functions without </w:t>
            </w:r>
            <w:r w:rsidR="008F6BDB" w:rsidRPr="008F6BDB">
              <w:rPr>
                <w:i/>
                <w:iCs/>
              </w:rPr>
              <w:t>relying</w:t>
            </w:r>
            <w:r w:rsidR="008F6BDB" w:rsidRPr="008F6BDB">
              <w:t xml:space="preserve"> on guaranteed federal purchase orders</w:t>
            </w:r>
          </w:p>
        </w:tc>
      </w:tr>
      <w:tr w:rsidR="0028415C" w14:paraId="264F0E86" w14:textId="77777777" w:rsidTr="00354AFB">
        <w:trPr>
          <w:trHeight w:val="300"/>
        </w:trPr>
        <w:tc>
          <w:tcPr>
            <w:tcW w:w="554" w:type="pct"/>
          </w:tcPr>
          <w:p w14:paraId="3BF9A61D" w14:textId="2B0CFB9C" w:rsidR="0028415C" w:rsidRDefault="00755BE5" w:rsidP="2BFA6E2C">
            <w:r>
              <w:lastRenderedPageBreak/>
              <w:t>10</w:t>
            </w:r>
          </w:p>
        </w:tc>
        <w:tc>
          <w:tcPr>
            <w:tcW w:w="2259" w:type="pct"/>
          </w:tcPr>
          <w:p w14:paraId="73667C2D" w14:textId="5ACC5068" w:rsidR="0028415C" w:rsidRPr="0028415C" w:rsidRDefault="0028415C" w:rsidP="2BFA6E2C">
            <w:r w:rsidRPr="0028415C">
              <w:t>Is any warm-base payment, surge-readiness retainer, standing federal purchase commitment, indefinite-delivery vehicle, or stockpile rotation program contemplated for the capacity created under this RPP? If so, will the Government state its terms, volumes, and duration? If none is contemplated, what commercial demand assumptions, price points, and market-share assumptions does the Government deem credible for the required model, and how are the ten-year priority-access and U.S.-demand-first obligations to be valued in a model that may not assume any government purchase?</w:t>
            </w:r>
          </w:p>
        </w:tc>
        <w:tc>
          <w:tcPr>
            <w:tcW w:w="2187" w:type="pct"/>
          </w:tcPr>
          <w:p w14:paraId="3DB6BBCA" w14:textId="2F3C9072" w:rsidR="0028415C" w:rsidRDefault="008F6BDB" w:rsidP="2BFA6E2C">
            <w:r w:rsidRPr="008F6BDB">
              <w:t xml:space="preserve">No warm-based payment, surge-readiness retainers, or standing </w:t>
            </w:r>
            <w:r w:rsidR="00AB1054">
              <w:t xml:space="preserve">federal </w:t>
            </w:r>
            <w:r w:rsidRPr="008F6BDB">
              <w:t xml:space="preserve">purchase </w:t>
            </w:r>
            <w:r w:rsidR="00AB1054">
              <w:t>commitment, indefinite-delivery vehicle, or st</w:t>
            </w:r>
            <w:r w:rsidR="00F83DDA">
              <w:t xml:space="preserve">ockpile rotation program is contemplated for the capacity created under this solicitation. </w:t>
            </w:r>
            <w:r w:rsidR="00595164">
              <w:t xml:space="preserve">Regarding the financial model, see the answer to question #9 above. </w:t>
            </w:r>
            <w:r w:rsidR="00BE0753" w:rsidRPr="008F6BDB">
              <w:t>The financial model should treat government purchase mandates as a potential upside rather than a core survival requirement.</w:t>
            </w:r>
            <w:r w:rsidR="00BE0753">
              <w:t xml:space="preserve"> </w:t>
            </w:r>
            <w:r w:rsidRPr="008F6BDB">
              <w:t>Offerors must assume that the funding provided during the maximum 24-month period of performance is the entirety of the direct federal financial support. The valuation of the 10-year "U.S.-demand-first" obligation should reflect the commercial advantage of a secure, domestic supply chain for private buyers who prioritize regulatory compliance and proximity of supply.</w:t>
            </w:r>
          </w:p>
        </w:tc>
      </w:tr>
      <w:tr w:rsidR="0028415C" w14:paraId="21704D7E" w14:textId="77777777" w:rsidTr="00354AFB">
        <w:trPr>
          <w:trHeight w:val="300"/>
        </w:trPr>
        <w:tc>
          <w:tcPr>
            <w:tcW w:w="554" w:type="pct"/>
          </w:tcPr>
          <w:p w14:paraId="67314787" w14:textId="630E56F3" w:rsidR="0028415C" w:rsidRDefault="00E016CE" w:rsidP="2BFA6E2C">
            <w:r>
              <w:t>11</w:t>
            </w:r>
          </w:p>
        </w:tc>
        <w:tc>
          <w:tcPr>
            <w:tcW w:w="2259" w:type="pct"/>
          </w:tcPr>
          <w:p w14:paraId="6891F9CE" w14:textId="55BF7DA4" w:rsidR="0028415C" w:rsidRPr="0028415C" w:rsidRDefault="0028415C" w:rsidP="2BFA6E2C">
            <w:r w:rsidRPr="0028415C">
              <w:t xml:space="preserve">To what extent may the proposal include targeted process R&amp;D (higher solids content, reduced residual </w:t>
            </w:r>
            <w:r w:rsidRPr="0028415C">
              <w:lastRenderedPageBreak/>
              <w:t>monomers, improved consistency for high-speed dipping lines, or energy/yield improvements) as part of reaching and sustaining MRL 10?</w:t>
            </w:r>
          </w:p>
        </w:tc>
        <w:tc>
          <w:tcPr>
            <w:tcW w:w="2187" w:type="pct"/>
          </w:tcPr>
          <w:p w14:paraId="43294607" w14:textId="6F89FDCB" w:rsidR="0028415C" w:rsidRDefault="003A0184" w:rsidP="2BFA6E2C">
            <w:r w:rsidRPr="003A0184">
              <w:lastRenderedPageBreak/>
              <w:t>Targeted process R&amp;D</w:t>
            </w:r>
            <w:r w:rsidR="000218EF">
              <w:t xml:space="preserve"> as an element of responses</w:t>
            </w:r>
            <w:r w:rsidRPr="003A0184">
              <w:t xml:space="preserve"> is permissible to the extent that </w:t>
            </w:r>
            <w:r w:rsidR="00BA79EC" w:rsidRPr="003A0184">
              <w:t>it serves</w:t>
            </w:r>
            <w:r w:rsidRPr="003A0184">
              <w:t xml:space="preserve"> to reach and </w:t>
            </w:r>
            <w:r w:rsidRPr="003A0184">
              <w:lastRenderedPageBreak/>
              <w:t xml:space="preserve">secure Manufacturing Readiness Level (MRL) 10. </w:t>
            </w:r>
            <w:r w:rsidR="005A536E">
              <w:t>I</w:t>
            </w:r>
            <w:r w:rsidRPr="003A0184">
              <w:t xml:space="preserve">ncreasing solids content, reducing residual monomers, or modifying NBR properties for compatibility with high-speed dipping lines </w:t>
            </w:r>
            <w:r w:rsidR="002A15E6">
              <w:t>will be considered.</w:t>
            </w:r>
            <w:r w:rsidR="00C55914">
              <w:t xml:space="preserve"> </w:t>
            </w:r>
          </w:p>
        </w:tc>
      </w:tr>
      <w:tr w:rsidR="0028415C" w14:paraId="7ED57E9C" w14:textId="77777777" w:rsidTr="00354AFB">
        <w:trPr>
          <w:trHeight w:val="300"/>
        </w:trPr>
        <w:tc>
          <w:tcPr>
            <w:tcW w:w="554" w:type="pct"/>
          </w:tcPr>
          <w:p w14:paraId="42AE27B9" w14:textId="5338BA46" w:rsidR="0028415C" w:rsidRDefault="00E016CE" w:rsidP="2BFA6E2C">
            <w:r>
              <w:lastRenderedPageBreak/>
              <w:t>12</w:t>
            </w:r>
          </w:p>
        </w:tc>
        <w:tc>
          <w:tcPr>
            <w:tcW w:w="2259" w:type="pct"/>
          </w:tcPr>
          <w:p w14:paraId="2E36AAA4" w14:textId="66BE6BC7" w:rsidR="0028415C" w:rsidRPr="0028415C" w:rsidRDefault="0028415C" w:rsidP="2BFA6E2C">
            <w:r w:rsidRPr="0028415C">
              <w:t>Will such R&amp;D cost be eligible for government funding and cost-share credit?</w:t>
            </w:r>
          </w:p>
        </w:tc>
        <w:tc>
          <w:tcPr>
            <w:tcW w:w="2187" w:type="pct"/>
          </w:tcPr>
          <w:p w14:paraId="023D2588" w14:textId="5E52EB5E" w:rsidR="0028415C" w:rsidRDefault="003A0184" w:rsidP="2BFA6E2C">
            <w:r w:rsidRPr="003A0184">
              <w:t xml:space="preserve">R&amp;D expenses are eligible for federal funding and cost-sharing, provided they are directly tied to the equipment validation, commissioning, and optimization required to achieve MRL 10. These costs must be explicitly categorized, justified within the Cost Proposal Narrative, and broken down chronologically in the milestone schedule. </w:t>
            </w:r>
          </w:p>
        </w:tc>
      </w:tr>
      <w:tr w:rsidR="0028415C" w14:paraId="7FA3CF33" w14:textId="77777777" w:rsidTr="00354AFB">
        <w:trPr>
          <w:trHeight w:val="300"/>
        </w:trPr>
        <w:tc>
          <w:tcPr>
            <w:tcW w:w="554" w:type="pct"/>
          </w:tcPr>
          <w:p w14:paraId="1E78F328" w14:textId="6C49BDE9" w:rsidR="00E016CE" w:rsidRDefault="00E016CE" w:rsidP="2BFA6E2C">
            <w:r>
              <w:t>13</w:t>
            </w:r>
          </w:p>
        </w:tc>
        <w:tc>
          <w:tcPr>
            <w:tcW w:w="2259" w:type="pct"/>
          </w:tcPr>
          <w:p w14:paraId="21150AFE" w14:textId="66B36AE0" w:rsidR="0028415C" w:rsidRPr="0028415C" w:rsidRDefault="0028415C" w:rsidP="2BFA6E2C">
            <w:r w:rsidRPr="0028415C">
              <w:t>For a greenfield or major brownfield NBR facility, how should the mandatory ≥50 % cost share be structured across capital equipment, construction, commissioning, and working capital?</w:t>
            </w:r>
          </w:p>
        </w:tc>
        <w:tc>
          <w:tcPr>
            <w:tcW w:w="2187" w:type="pct"/>
          </w:tcPr>
          <w:p w14:paraId="3F53745C" w14:textId="5EF7EB2C" w:rsidR="0028415C" w:rsidRDefault="003A0184" w:rsidP="2BFA6E2C">
            <w:r w:rsidRPr="003A0184">
              <w:t xml:space="preserve">The ≥50% cost share should be distributed proportionally across </w:t>
            </w:r>
            <w:r w:rsidR="00BA79EC" w:rsidRPr="00BA79EC">
              <w:rPr>
                <w:lang w:val="en"/>
              </w:rPr>
              <w:t xml:space="preserve">capital equipment, construction, commissioning, and working capital is the responsibility of the Performer regardless of greenfield or major brownfield NBR facility status. </w:t>
            </w:r>
          </w:p>
        </w:tc>
      </w:tr>
      <w:tr w:rsidR="0028415C" w14:paraId="7C072DFD" w14:textId="77777777" w:rsidTr="00354AFB">
        <w:trPr>
          <w:trHeight w:val="300"/>
        </w:trPr>
        <w:tc>
          <w:tcPr>
            <w:tcW w:w="554" w:type="pct"/>
          </w:tcPr>
          <w:p w14:paraId="25C5B8A0" w14:textId="0DB20C58" w:rsidR="0028415C" w:rsidRDefault="00E016CE" w:rsidP="2BFA6E2C">
            <w:r>
              <w:t>14</w:t>
            </w:r>
          </w:p>
        </w:tc>
        <w:tc>
          <w:tcPr>
            <w:tcW w:w="2259" w:type="pct"/>
          </w:tcPr>
          <w:p w14:paraId="2D48A5AC" w14:textId="47C17665" w:rsidR="0028415C" w:rsidRPr="0028415C" w:rsidRDefault="0028415C" w:rsidP="2BFA6E2C">
            <w:r w:rsidRPr="0028415C">
              <w:t>Are there preferred mechanisms (equity, third-party investment, equipment financing) that the Government views most favorably?</w:t>
            </w:r>
          </w:p>
        </w:tc>
        <w:tc>
          <w:tcPr>
            <w:tcW w:w="2187" w:type="pct"/>
          </w:tcPr>
          <w:p w14:paraId="57087F44" w14:textId="086CA847" w:rsidR="0028415C" w:rsidRDefault="003A0184" w:rsidP="2BFA6E2C">
            <w:r w:rsidRPr="003A0184">
              <w:t xml:space="preserve">The government does not </w:t>
            </w:r>
            <w:r w:rsidR="003D6A2F">
              <w:t>prefer</w:t>
            </w:r>
            <w:r w:rsidRPr="003A0184">
              <w:t xml:space="preserve"> any specific financing structure. </w:t>
            </w:r>
          </w:p>
        </w:tc>
      </w:tr>
      <w:tr w:rsidR="0028415C" w14:paraId="37C9638B" w14:textId="77777777" w:rsidTr="00354AFB">
        <w:trPr>
          <w:trHeight w:val="300"/>
        </w:trPr>
        <w:tc>
          <w:tcPr>
            <w:tcW w:w="554" w:type="pct"/>
          </w:tcPr>
          <w:p w14:paraId="4046E587" w14:textId="739F616B" w:rsidR="0028415C" w:rsidRDefault="00E016CE" w:rsidP="2BFA6E2C">
            <w:r>
              <w:t>15</w:t>
            </w:r>
          </w:p>
        </w:tc>
        <w:tc>
          <w:tcPr>
            <w:tcW w:w="2259" w:type="pct"/>
          </w:tcPr>
          <w:p w14:paraId="7AE04F52" w14:textId="1951870F" w:rsidR="0028415C" w:rsidRPr="0028415C" w:rsidRDefault="0028415C" w:rsidP="2BFA6E2C">
            <w:r w:rsidRPr="0028415C">
              <w:t>Does validation of the NBR manufacturing only cover the production of the Raw NBR or does it also have to be validated by producing viable gloves using the newly produced NBR?</w:t>
            </w:r>
          </w:p>
        </w:tc>
        <w:tc>
          <w:tcPr>
            <w:tcW w:w="2187" w:type="pct"/>
          </w:tcPr>
          <w:p w14:paraId="0A4FF07B" w14:textId="5A8C4E28" w:rsidR="0028415C" w:rsidRDefault="0063078E" w:rsidP="2BFA6E2C">
            <w:r>
              <w:t xml:space="preserve"> </w:t>
            </w:r>
            <w:r w:rsidR="00D20C02">
              <w:t xml:space="preserve">Validation requires a dual-stage approach covering both raw NBR production and downstream glove manufacturing suitability. </w:t>
            </w:r>
          </w:p>
        </w:tc>
      </w:tr>
      <w:tr w:rsidR="0028415C" w14:paraId="3574CD03" w14:textId="77777777" w:rsidTr="00354AFB">
        <w:trPr>
          <w:trHeight w:val="300"/>
        </w:trPr>
        <w:tc>
          <w:tcPr>
            <w:tcW w:w="554" w:type="pct"/>
          </w:tcPr>
          <w:p w14:paraId="1CDEBE8F" w14:textId="147E9D7E" w:rsidR="0028415C" w:rsidRDefault="00E016CE" w:rsidP="2BFA6E2C">
            <w:r>
              <w:t>16</w:t>
            </w:r>
          </w:p>
        </w:tc>
        <w:tc>
          <w:tcPr>
            <w:tcW w:w="2259" w:type="pct"/>
          </w:tcPr>
          <w:p w14:paraId="28413A3C" w14:textId="23D7DCED" w:rsidR="0028415C" w:rsidRPr="0028415C" w:rsidRDefault="0028415C" w:rsidP="2BFA6E2C">
            <w:r w:rsidRPr="0028415C">
              <w:t xml:space="preserve">The RPP requires the Commercial Viability Plan to address steady-state and surge demand but does not establish a quantitative surge-readiness criterion. Should Offerors independently define and justify the operating baseline, surge-production target, ramp-up time, minimum campaign duration, and associated demand assumptions, or will the Government provide </w:t>
            </w:r>
            <w:r w:rsidRPr="0028415C">
              <w:lastRenderedPageBreak/>
              <w:t>a standardized scenario for evaluating proposals consistently?</w:t>
            </w:r>
          </w:p>
        </w:tc>
        <w:tc>
          <w:tcPr>
            <w:tcW w:w="2187" w:type="pct"/>
          </w:tcPr>
          <w:p w14:paraId="6963D1CE" w14:textId="4EBA3DA5" w:rsidR="0028415C" w:rsidRDefault="005F61F5" w:rsidP="005D00D9">
            <w:r>
              <w:lastRenderedPageBreak/>
              <w:t xml:space="preserve">The Government will not provide a standardized surge scenario. Offerors </w:t>
            </w:r>
            <w:r w:rsidR="009145F4">
              <w:t>must</w:t>
            </w:r>
            <w:r>
              <w:t xml:space="preserve"> independently define, model, and justify their facility’s specific operating parameters, baseline assumptions, and surge capacities. </w:t>
            </w:r>
          </w:p>
        </w:tc>
      </w:tr>
    </w:tbl>
    <w:p w14:paraId="11787FD9" w14:textId="47D62724" w:rsidR="2BFA6E2C" w:rsidRDefault="2BFA6E2C"/>
    <w:sectPr w:rsidR="2BFA6E2C" w:rsidSect="00354AF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A5728"/>
    <w:multiLevelType w:val="hybridMultilevel"/>
    <w:tmpl w:val="FED4AFCA"/>
    <w:lvl w:ilvl="0" w:tplc="FFFFFFFF">
      <w:start w:val="1"/>
      <w:numFmt w:val="decimal"/>
      <w:lvlText w:val="%1."/>
      <w:lvlJc w:val="left"/>
      <w:pPr>
        <w:ind w:left="720" w:hanging="360"/>
      </w:p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9793332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68823B9"/>
    <w:rsid w:val="00003980"/>
    <w:rsid w:val="000055DA"/>
    <w:rsid w:val="00012EE6"/>
    <w:rsid w:val="00020C02"/>
    <w:rsid w:val="000218EF"/>
    <w:rsid w:val="00031EC0"/>
    <w:rsid w:val="000342D7"/>
    <w:rsid w:val="00052D13"/>
    <w:rsid w:val="00090564"/>
    <w:rsid w:val="000A2B5F"/>
    <w:rsid w:val="000C0C49"/>
    <w:rsid w:val="000C6FEF"/>
    <w:rsid w:val="000D0F9E"/>
    <w:rsid w:val="000E6A98"/>
    <w:rsid w:val="000F5598"/>
    <w:rsid w:val="00126B6D"/>
    <w:rsid w:val="00143E4A"/>
    <w:rsid w:val="001618F9"/>
    <w:rsid w:val="001852A3"/>
    <w:rsid w:val="00187545"/>
    <w:rsid w:val="001B5CB6"/>
    <w:rsid w:val="001D4C1C"/>
    <w:rsid w:val="001D7B88"/>
    <w:rsid w:val="001F5CB8"/>
    <w:rsid w:val="00216B51"/>
    <w:rsid w:val="00245921"/>
    <w:rsid w:val="002549FD"/>
    <w:rsid w:val="00267410"/>
    <w:rsid w:val="002759D5"/>
    <w:rsid w:val="0028415C"/>
    <w:rsid w:val="00295856"/>
    <w:rsid w:val="00295DC6"/>
    <w:rsid w:val="002A15E6"/>
    <w:rsid w:val="002A51C5"/>
    <w:rsid w:val="002B10A1"/>
    <w:rsid w:val="002B356F"/>
    <w:rsid w:val="002E55E7"/>
    <w:rsid w:val="002F2C96"/>
    <w:rsid w:val="00307192"/>
    <w:rsid w:val="00354AFB"/>
    <w:rsid w:val="003A0184"/>
    <w:rsid w:val="003A1076"/>
    <w:rsid w:val="003D6A2F"/>
    <w:rsid w:val="003F74D4"/>
    <w:rsid w:val="00405700"/>
    <w:rsid w:val="00411647"/>
    <w:rsid w:val="00433BB7"/>
    <w:rsid w:val="00441DA8"/>
    <w:rsid w:val="00490133"/>
    <w:rsid w:val="004A0792"/>
    <w:rsid w:val="004F572B"/>
    <w:rsid w:val="00502B26"/>
    <w:rsid w:val="00517A8A"/>
    <w:rsid w:val="00531041"/>
    <w:rsid w:val="005343E3"/>
    <w:rsid w:val="0054784F"/>
    <w:rsid w:val="00554F77"/>
    <w:rsid w:val="005558E0"/>
    <w:rsid w:val="00595164"/>
    <w:rsid w:val="005A01BD"/>
    <w:rsid w:val="005A536E"/>
    <w:rsid w:val="005B5062"/>
    <w:rsid w:val="005D00D9"/>
    <w:rsid w:val="005F61F5"/>
    <w:rsid w:val="00625150"/>
    <w:rsid w:val="00626F53"/>
    <w:rsid w:val="0063078E"/>
    <w:rsid w:val="00652D18"/>
    <w:rsid w:val="00653F34"/>
    <w:rsid w:val="00667BF2"/>
    <w:rsid w:val="00693069"/>
    <w:rsid w:val="00693E49"/>
    <w:rsid w:val="006F4B61"/>
    <w:rsid w:val="006F5FEC"/>
    <w:rsid w:val="007023E1"/>
    <w:rsid w:val="00710E44"/>
    <w:rsid w:val="007126D8"/>
    <w:rsid w:val="00720D73"/>
    <w:rsid w:val="007271CB"/>
    <w:rsid w:val="00755BE5"/>
    <w:rsid w:val="0076512D"/>
    <w:rsid w:val="007D19FF"/>
    <w:rsid w:val="007D3685"/>
    <w:rsid w:val="007D7B65"/>
    <w:rsid w:val="007E49C0"/>
    <w:rsid w:val="007F654F"/>
    <w:rsid w:val="0081019C"/>
    <w:rsid w:val="008155AD"/>
    <w:rsid w:val="00816504"/>
    <w:rsid w:val="008321B9"/>
    <w:rsid w:val="00854E3C"/>
    <w:rsid w:val="008729EF"/>
    <w:rsid w:val="00886C8F"/>
    <w:rsid w:val="008876C9"/>
    <w:rsid w:val="00896B36"/>
    <w:rsid w:val="008A251B"/>
    <w:rsid w:val="008B22A6"/>
    <w:rsid w:val="008E289C"/>
    <w:rsid w:val="008E33B3"/>
    <w:rsid w:val="008E398F"/>
    <w:rsid w:val="008F6BDB"/>
    <w:rsid w:val="009145F4"/>
    <w:rsid w:val="009576FF"/>
    <w:rsid w:val="00977A71"/>
    <w:rsid w:val="00984D34"/>
    <w:rsid w:val="00986CE3"/>
    <w:rsid w:val="00A754A7"/>
    <w:rsid w:val="00A821C8"/>
    <w:rsid w:val="00A87FF2"/>
    <w:rsid w:val="00A90E86"/>
    <w:rsid w:val="00A94704"/>
    <w:rsid w:val="00AB1054"/>
    <w:rsid w:val="00AB2D1F"/>
    <w:rsid w:val="00B469DB"/>
    <w:rsid w:val="00B53D1C"/>
    <w:rsid w:val="00B61F17"/>
    <w:rsid w:val="00B67D53"/>
    <w:rsid w:val="00B735FF"/>
    <w:rsid w:val="00B80298"/>
    <w:rsid w:val="00BA79EC"/>
    <w:rsid w:val="00BB15A5"/>
    <w:rsid w:val="00BD3A88"/>
    <w:rsid w:val="00BE0753"/>
    <w:rsid w:val="00BE46F8"/>
    <w:rsid w:val="00BE5D61"/>
    <w:rsid w:val="00BE6BCD"/>
    <w:rsid w:val="00BF4533"/>
    <w:rsid w:val="00C26294"/>
    <w:rsid w:val="00C34728"/>
    <w:rsid w:val="00C42CF8"/>
    <w:rsid w:val="00C4433F"/>
    <w:rsid w:val="00C55914"/>
    <w:rsid w:val="00C76DF0"/>
    <w:rsid w:val="00C92213"/>
    <w:rsid w:val="00CA2B48"/>
    <w:rsid w:val="00CA6548"/>
    <w:rsid w:val="00CC6D66"/>
    <w:rsid w:val="00CD0319"/>
    <w:rsid w:val="00CF5AE1"/>
    <w:rsid w:val="00D17B36"/>
    <w:rsid w:val="00D20C02"/>
    <w:rsid w:val="00D25CE1"/>
    <w:rsid w:val="00D56F7C"/>
    <w:rsid w:val="00D63EC5"/>
    <w:rsid w:val="00D66D41"/>
    <w:rsid w:val="00D70068"/>
    <w:rsid w:val="00D77AE8"/>
    <w:rsid w:val="00D974FD"/>
    <w:rsid w:val="00DA0735"/>
    <w:rsid w:val="00DA4D37"/>
    <w:rsid w:val="00DB5DBE"/>
    <w:rsid w:val="00DF04A4"/>
    <w:rsid w:val="00DF5BFB"/>
    <w:rsid w:val="00E016CE"/>
    <w:rsid w:val="00E033AF"/>
    <w:rsid w:val="00E0746A"/>
    <w:rsid w:val="00E1527D"/>
    <w:rsid w:val="00E253FD"/>
    <w:rsid w:val="00E5615F"/>
    <w:rsid w:val="00E713D3"/>
    <w:rsid w:val="00E75291"/>
    <w:rsid w:val="00EB0495"/>
    <w:rsid w:val="00EE292C"/>
    <w:rsid w:val="00EF3173"/>
    <w:rsid w:val="00F1348D"/>
    <w:rsid w:val="00F223ED"/>
    <w:rsid w:val="00F83DDA"/>
    <w:rsid w:val="00F910F0"/>
    <w:rsid w:val="00F922A3"/>
    <w:rsid w:val="00F966D4"/>
    <w:rsid w:val="00FB7CA1"/>
    <w:rsid w:val="00FC4CE7"/>
    <w:rsid w:val="00FD136B"/>
    <w:rsid w:val="00FD21EF"/>
    <w:rsid w:val="2BFA6E2C"/>
    <w:rsid w:val="50165D74"/>
    <w:rsid w:val="65F46A69"/>
    <w:rsid w:val="768823B9"/>
    <w:rsid w:val="7FE00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5A600"/>
  <w15:chartTrackingRefBased/>
  <w15:docId w15:val="{363F267F-3BE3-43B6-8424-D779C1109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F6BDB"/>
    <w:rPr>
      <w:color w:val="467886" w:themeColor="hyperlink"/>
      <w:u w:val="single"/>
    </w:rPr>
  </w:style>
  <w:style w:type="character" w:styleId="UnresolvedMention">
    <w:name w:val="Unresolved Mention"/>
    <w:basedOn w:val="DefaultParagraphFont"/>
    <w:uiPriority w:val="99"/>
    <w:semiHidden/>
    <w:unhideWhenUsed/>
    <w:rsid w:val="008F6BDB"/>
    <w:rPr>
      <w:color w:val="605E5C"/>
      <w:shd w:val="clear" w:color="auto" w:fill="E1DFDD"/>
    </w:rPr>
  </w:style>
  <w:style w:type="character" w:styleId="CommentReference">
    <w:name w:val="annotation reference"/>
    <w:basedOn w:val="DefaultParagraphFont"/>
    <w:uiPriority w:val="99"/>
    <w:semiHidden/>
    <w:unhideWhenUsed/>
    <w:rsid w:val="00D63EC5"/>
    <w:rPr>
      <w:sz w:val="16"/>
      <w:szCs w:val="16"/>
    </w:rPr>
  </w:style>
  <w:style w:type="paragraph" w:styleId="CommentText">
    <w:name w:val="annotation text"/>
    <w:basedOn w:val="Normal"/>
    <w:link w:val="CommentTextChar"/>
    <w:uiPriority w:val="99"/>
    <w:unhideWhenUsed/>
    <w:rsid w:val="00D63EC5"/>
    <w:pPr>
      <w:spacing w:line="240" w:lineRule="auto"/>
    </w:pPr>
    <w:rPr>
      <w:sz w:val="20"/>
      <w:szCs w:val="20"/>
    </w:rPr>
  </w:style>
  <w:style w:type="character" w:customStyle="1" w:styleId="CommentTextChar">
    <w:name w:val="Comment Text Char"/>
    <w:basedOn w:val="DefaultParagraphFont"/>
    <w:link w:val="CommentText"/>
    <w:uiPriority w:val="99"/>
    <w:rsid w:val="00D63EC5"/>
    <w:rPr>
      <w:sz w:val="20"/>
      <w:szCs w:val="20"/>
    </w:rPr>
  </w:style>
  <w:style w:type="paragraph" w:styleId="CommentSubject">
    <w:name w:val="annotation subject"/>
    <w:basedOn w:val="CommentText"/>
    <w:next w:val="CommentText"/>
    <w:link w:val="CommentSubjectChar"/>
    <w:uiPriority w:val="99"/>
    <w:semiHidden/>
    <w:unhideWhenUsed/>
    <w:rsid w:val="00D63EC5"/>
    <w:rPr>
      <w:b/>
      <w:bCs/>
    </w:rPr>
  </w:style>
  <w:style w:type="character" w:customStyle="1" w:styleId="CommentSubjectChar">
    <w:name w:val="Comment Subject Char"/>
    <w:basedOn w:val="CommentTextChar"/>
    <w:link w:val="CommentSubject"/>
    <w:uiPriority w:val="99"/>
    <w:semiHidden/>
    <w:rsid w:val="00D63EC5"/>
    <w:rPr>
      <w:b/>
      <w:bCs/>
      <w:sz w:val="20"/>
      <w:szCs w:val="20"/>
    </w:rPr>
  </w:style>
  <w:style w:type="paragraph" w:styleId="Revision">
    <w:name w:val="Revision"/>
    <w:hidden/>
    <w:uiPriority w:val="99"/>
    <w:semiHidden/>
    <w:rsid w:val="00CD03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10e84e-96cd-4d34-9d6d-7e9065caf9b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648DE3DAC36494E9436D40CE309A091" ma:contentTypeVersion="18" ma:contentTypeDescription="Create a new document." ma:contentTypeScope="" ma:versionID="53e593f572c48205c93c532691f7ff81">
  <xsd:schema xmlns:xsd="http://www.w3.org/2001/XMLSchema" xmlns:xs="http://www.w3.org/2001/XMLSchema" xmlns:p="http://schemas.microsoft.com/office/2006/metadata/properties" xmlns:ns2="af82ecbd-a39c-43aa-8b3d-43b91785888a" xmlns:ns3="2e10e84e-96cd-4d34-9d6d-7e9065caf9b2" targetNamespace="http://schemas.microsoft.com/office/2006/metadata/properties" ma:root="true" ma:fieldsID="f1b6883b79c041a36274ed9982348491" ns2:_="" ns3:_="">
    <xsd:import namespace="af82ecbd-a39c-43aa-8b3d-43b91785888a"/>
    <xsd:import namespace="2e10e84e-96cd-4d34-9d6d-7e9065caf9b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2ecbd-a39c-43aa-8b3d-43b91785888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10e84e-96cd-4d34-9d6d-7e9065caf9b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f60054a-f39b-401b-8042-7d2b45db6a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D983E1-3A3E-4C4C-943C-3B0BFAA852D9}">
  <ds:schemaRefs>
    <ds:schemaRef ds:uri="http://schemas.microsoft.com/sharepoint/events"/>
  </ds:schemaRefs>
</ds:datastoreItem>
</file>

<file path=customXml/itemProps2.xml><?xml version="1.0" encoding="utf-8"?>
<ds:datastoreItem xmlns:ds="http://schemas.openxmlformats.org/officeDocument/2006/customXml" ds:itemID="{6B38A7E3-7D81-47D1-8AB4-CD375FBD496F}">
  <ds:schemaRefs>
    <ds:schemaRef ds:uri="http://schemas.microsoft.com/sharepoint/v3/contenttype/forms"/>
  </ds:schemaRefs>
</ds:datastoreItem>
</file>

<file path=customXml/itemProps3.xml><?xml version="1.0" encoding="utf-8"?>
<ds:datastoreItem xmlns:ds="http://schemas.openxmlformats.org/officeDocument/2006/customXml" ds:itemID="{F8464D12-377D-474B-9A2A-5B44553546C4}">
  <ds:schemaRefs>
    <ds:schemaRef ds:uri="http://schemas.microsoft.com/office/2006/metadata/properties"/>
    <ds:schemaRef ds:uri="http://schemas.microsoft.com/office/infopath/2007/PartnerControls"/>
    <ds:schemaRef ds:uri="2e10e84e-96cd-4d34-9d6d-7e9065caf9b2"/>
  </ds:schemaRefs>
</ds:datastoreItem>
</file>

<file path=customXml/itemProps4.xml><?xml version="1.0" encoding="utf-8"?>
<ds:datastoreItem xmlns:ds="http://schemas.openxmlformats.org/officeDocument/2006/customXml" ds:itemID="{D6F1A11A-EA46-47A7-995D-89F386DC7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2ecbd-a39c-43aa-8b3d-43b91785888a"/>
    <ds:schemaRef ds:uri="2e10e84e-96cd-4d34-9d6d-7e9065caf9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28</TotalTime>
  <Pages>6</Pages>
  <Words>1562</Words>
  <Characters>8906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Garee, Kathy</dc:creator>
  <cp:keywords/>
  <dc:description/>
  <cp:lastModifiedBy>Williams, Judy  (ASPR/ADMIN)</cp:lastModifiedBy>
  <cp:revision>4</cp:revision>
  <cp:lastPrinted>2026-08-17T19:45:00Z</cp:lastPrinted>
  <dcterms:created xsi:type="dcterms:W3CDTF">2026-09-17T23:30:00Z</dcterms:created>
  <dcterms:modified xsi:type="dcterms:W3CDTF">2026-09-18T00:08:00Z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0x0101004648DE3DAC36494E9436D40CE309A091</vt:lpwstr>
  </property>
  <property fmtid="{D5CDD505-2E9C-101B-9397-08002B2CF9AE}" pid="3" name="MediaServiceImageTags">
    <vt:lpwstr/>
  </property>
  <property fmtid="{D5CDD505-2E9C-101B-9397-08002B2CF9AE}" pid="4" name="TaxCatchAll">
    <vt:lpwstr/>
  </property>
  <property fmtid="{D5CDD505-2E9C-101B-9397-08002B2CF9AE}" pid="5" name="docLang">
    <vt:lpwstr>en</vt:lpwstr>
  </property>
</Properties>
</file>