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DCE70" w14:textId="77777777" w:rsidR="005F139E" w:rsidRDefault="00FE120D" w:rsidP="004C7665">
      <w:pPr>
        <w:pStyle w:val="Heading1"/>
        <w:jc w:val="center"/>
        <w:rPr>
          <w:rFonts w:ascii="Calibri" w:eastAsia="Times New Roman" w:hAnsi="Calibri" w:cs="Calibri"/>
        </w:rPr>
      </w:pPr>
      <w:r>
        <w:rPr>
          <w:rFonts w:ascii="Calibri" w:eastAsia="Times New Roman" w:hAnsi="Calibri" w:cs="Calibri"/>
        </w:rPr>
        <w:t>26-09-Gloves RPP — Full Question &amp; Answer Set, Grouped by Topic</w:t>
      </w:r>
    </w:p>
    <w:p w14:paraId="301B1D50" w14:textId="77777777" w:rsidR="005F139E" w:rsidRDefault="00FE120D">
      <w:pPr>
        <w:pStyle w:val="Heading2"/>
        <w:rPr>
          <w:rFonts w:ascii="Calibri" w:eastAsia="Times New Roman" w:hAnsi="Calibri" w:cs="Calibri"/>
        </w:rPr>
      </w:pPr>
      <w:r>
        <w:rPr>
          <w:rFonts w:ascii="Calibri" w:eastAsia="Times New Roman" w:hAnsi="Calibri" w:cs="Calibri"/>
        </w:rPr>
        <w:t>1. NBR Feedstock Sourcing &amp; Vertical Integration</w:t>
      </w:r>
    </w:p>
    <w:p w14:paraId="1B404A06" w14:textId="77777777" w:rsidR="005F139E" w:rsidRDefault="00FE120D">
      <w:pPr>
        <w:pStyle w:val="q-text"/>
        <w:spacing w:before="60" w:beforeAutospacing="0"/>
        <w:divId w:val="1455059553"/>
        <w:rPr>
          <w:rFonts w:ascii="Calibri" w:hAnsi="Calibri" w:cs="Calibri"/>
          <w:color w:val="000000"/>
          <w:sz w:val="22"/>
          <w:szCs w:val="22"/>
        </w:rPr>
      </w:pPr>
      <w:r>
        <w:rPr>
          <w:rStyle w:val="q-num1"/>
          <w:rFonts w:ascii="Calibri" w:hAnsi="Calibri" w:cs="Calibri"/>
          <w:b/>
          <w:bCs/>
          <w:sz w:val="22"/>
          <w:szCs w:val="22"/>
        </w:rPr>
        <w:t>[1]</w:t>
      </w:r>
      <w:r>
        <w:rPr>
          <w:rFonts w:ascii="Calibri" w:hAnsi="Calibri" w:cs="Calibri"/>
          <w:color w:val="000000"/>
          <w:sz w:val="22"/>
          <w:szCs w:val="22"/>
        </w:rPr>
        <w:t xml:space="preserve"> Is domestic production of NBR feedstock by the performer mandatory, or preferred/aspirational?</w:t>
      </w:r>
    </w:p>
    <w:p w14:paraId="0C64985B" w14:textId="3CECDA39" w:rsidR="005F139E" w:rsidRDefault="00FE120D">
      <w:pPr>
        <w:pStyle w:val="a-text"/>
        <w:spacing w:after="60" w:afterAutospacing="0"/>
        <w:divId w:val="1455059553"/>
        <w:rPr>
          <w:rFonts w:ascii="Calibri" w:hAnsi="Calibri" w:cs="Calibri"/>
          <w:color w:val="000000"/>
          <w:sz w:val="22"/>
          <w:szCs w:val="22"/>
        </w:rPr>
      </w:pPr>
      <w:r>
        <w:rPr>
          <w:rFonts w:ascii="Calibri" w:hAnsi="Calibri" w:cs="Calibri"/>
          <w:color w:val="000000"/>
          <w:sz w:val="22"/>
          <w:szCs w:val="22"/>
        </w:rPr>
        <w:t xml:space="preserve">Co-located domestic production of Nitrile Butadiene Rubber (NBR) feedstock by the performer is not a mandatory threshold eligibility requirement, rather it is a USG preference. </w:t>
      </w:r>
    </w:p>
    <w:p w14:paraId="0A359C2D" w14:textId="77777777" w:rsidR="005F139E" w:rsidRDefault="00FE120D">
      <w:pPr>
        <w:pStyle w:val="q-text"/>
        <w:spacing w:before="60" w:beforeAutospacing="0"/>
        <w:divId w:val="635839629"/>
        <w:rPr>
          <w:rFonts w:ascii="Calibri" w:hAnsi="Calibri" w:cs="Calibri"/>
          <w:color w:val="000000"/>
          <w:sz w:val="22"/>
          <w:szCs w:val="22"/>
        </w:rPr>
      </w:pPr>
      <w:r>
        <w:rPr>
          <w:rStyle w:val="q-num1"/>
          <w:rFonts w:ascii="Calibri" w:hAnsi="Calibri" w:cs="Calibri"/>
          <w:b/>
          <w:bCs/>
          <w:sz w:val="22"/>
          <w:szCs w:val="22"/>
        </w:rPr>
        <w:t>[2]</w:t>
      </w:r>
      <w:r>
        <w:rPr>
          <w:rFonts w:ascii="Calibri" w:hAnsi="Calibri" w:cs="Calibri"/>
          <w:color w:val="000000"/>
          <w:sz w:val="22"/>
          <w:szCs w:val="22"/>
        </w:rPr>
        <w:t xml:space="preserve"> If a performer sources NBR from a U.S.-based third-party supplier (not vertically integrated), does the proposal remain eligible? How is "maximum extent practicable" evaluated?</w:t>
      </w:r>
    </w:p>
    <w:p w14:paraId="22122976" w14:textId="5CE940F5" w:rsidR="00E33C6E" w:rsidRDefault="00E33C6E">
      <w:pPr>
        <w:pStyle w:val="a-text"/>
        <w:spacing w:after="60" w:afterAutospacing="0"/>
        <w:divId w:val="635839629"/>
        <w:rPr>
          <w:rFonts w:ascii="Calibri" w:hAnsi="Calibri" w:cs="Calibri"/>
          <w:color w:val="000000"/>
          <w:sz w:val="22"/>
          <w:szCs w:val="22"/>
        </w:rPr>
      </w:pPr>
      <w:r w:rsidRPr="00E33C6E">
        <w:rPr>
          <w:rFonts w:ascii="Calibri" w:hAnsi="Calibri" w:cs="Calibri"/>
          <w:color w:val="000000"/>
          <w:sz w:val="22"/>
          <w:szCs w:val="22"/>
        </w:rPr>
        <w:t xml:space="preserve">A proposal </w:t>
      </w:r>
      <w:r w:rsidRPr="008857BC">
        <w:rPr>
          <w:rFonts w:ascii="Calibri" w:hAnsi="Calibri" w:cs="Calibri"/>
          <w:color w:val="000000"/>
          <w:sz w:val="22"/>
          <w:szCs w:val="22"/>
        </w:rPr>
        <w:t>utilizing a U.S.-based third-party NBR supplier remains fully eligible; vertical integration is a USG preference, not a Minimum Eligibility Criterion (see Q1, Q4). "Maximum extent practicable," as defined in Section 2.</w:t>
      </w:r>
      <w:r w:rsidR="008857BC" w:rsidRPr="008857BC">
        <w:rPr>
          <w:rFonts w:ascii="Calibri" w:hAnsi="Calibri" w:cs="Calibri"/>
          <w:color w:val="000000"/>
          <w:sz w:val="22"/>
          <w:szCs w:val="22"/>
        </w:rPr>
        <w:t>2</w:t>
      </w:r>
      <w:r w:rsidRPr="008857BC">
        <w:rPr>
          <w:rFonts w:ascii="Calibri" w:hAnsi="Calibri" w:cs="Calibri"/>
          <w:color w:val="000000"/>
          <w:sz w:val="22"/>
          <w:szCs w:val="22"/>
        </w:rPr>
        <w:t>.1</w:t>
      </w:r>
      <w:r w:rsidR="008857BC" w:rsidRPr="008857BC">
        <w:rPr>
          <w:rFonts w:ascii="Calibri" w:hAnsi="Calibri" w:cs="Calibri"/>
          <w:color w:val="000000"/>
          <w:sz w:val="22"/>
          <w:szCs w:val="22"/>
        </w:rPr>
        <w:t xml:space="preserve"> of RPP</w:t>
      </w:r>
      <w:r w:rsidR="004C4331">
        <w:rPr>
          <w:rFonts w:ascii="Calibri" w:hAnsi="Calibri" w:cs="Calibri"/>
          <w:color w:val="000000"/>
          <w:sz w:val="22"/>
          <w:szCs w:val="22"/>
        </w:rPr>
        <w:t xml:space="preserve"> Amendment 3</w:t>
      </w:r>
      <w:r w:rsidR="008857BC" w:rsidRPr="008857BC">
        <w:rPr>
          <w:rFonts w:ascii="Calibri" w:hAnsi="Calibri" w:cs="Calibri"/>
          <w:color w:val="000000"/>
          <w:sz w:val="22"/>
          <w:szCs w:val="22"/>
        </w:rPr>
        <w:t xml:space="preserve"> Attachment A</w:t>
      </w:r>
      <w:r w:rsidRPr="008857BC">
        <w:rPr>
          <w:rFonts w:ascii="Calibri" w:hAnsi="Calibri" w:cs="Calibri"/>
          <w:color w:val="000000"/>
          <w:sz w:val="22"/>
          <w:szCs w:val="22"/>
        </w:rPr>
        <w:t>, does not impose a fixed percentage or minimum domestic-content threshold. Instead, where any raw material is sourced from a foreign or non-</w:t>
      </w:r>
      <w:proofErr w:type="gramStart"/>
      <w:r w:rsidRPr="008857BC">
        <w:rPr>
          <w:rFonts w:ascii="Calibri" w:hAnsi="Calibri" w:cs="Calibri"/>
          <w:color w:val="000000"/>
          <w:sz w:val="22"/>
          <w:szCs w:val="22"/>
        </w:rPr>
        <w:t>vertically-integrated</w:t>
      </w:r>
      <w:proofErr w:type="gramEnd"/>
      <w:r w:rsidRPr="008857BC">
        <w:rPr>
          <w:rFonts w:ascii="Calibri" w:hAnsi="Calibri" w:cs="Calibri"/>
          <w:color w:val="000000"/>
          <w:sz w:val="22"/>
          <w:szCs w:val="22"/>
        </w:rPr>
        <w:t xml:space="preserve"> supplier, the Performer must provide a narrative justification in its Technical Approach explaining that sourcing decision, along with associated risks and mitigations in the Risk Register. This justification will be evaluated qualitatively under Factor 1, based on the relevancy, thoroughness, completeness, and feasibility</w:t>
      </w:r>
      <w:r w:rsidRPr="00E33C6E">
        <w:rPr>
          <w:rFonts w:ascii="Calibri" w:hAnsi="Calibri" w:cs="Calibri"/>
          <w:color w:val="000000"/>
          <w:sz w:val="22"/>
          <w:szCs w:val="22"/>
        </w:rPr>
        <w:t xml:space="preserve"> of the overall approach — not against a numeric compliance test.</w:t>
      </w:r>
    </w:p>
    <w:p w14:paraId="4F62E38A" w14:textId="77777777" w:rsidR="005F139E" w:rsidRDefault="00FE120D">
      <w:pPr>
        <w:pStyle w:val="q-text"/>
        <w:spacing w:before="60" w:beforeAutospacing="0"/>
        <w:divId w:val="1485269204"/>
        <w:rPr>
          <w:rFonts w:ascii="Calibri" w:hAnsi="Calibri" w:cs="Calibri"/>
          <w:color w:val="000000"/>
          <w:sz w:val="22"/>
          <w:szCs w:val="22"/>
        </w:rPr>
      </w:pPr>
      <w:r>
        <w:rPr>
          <w:rStyle w:val="q-num1"/>
          <w:rFonts w:ascii="Calibri" w:hAnsi="Calibri" w:cs="Calibri"/>
          <w:b/>
          <w:bCs/>
          <w:sz w:val="22"/>
          <w:szCs w:val="22"/>
        </w:rPr>
        <w:t>[3]</w:t>
      </w:r>
      <w:r>
        <w:rPr>
          <w:rFonts w:ascii="Calibri" w:hAnsi="Calibri" w:cs="Calibri"/>
          <w:color w:val="000000"/>
          <w:sz w:val="22"/>
          <w:szCs w:val="22"/>
        </w:rPr>
        <w:t xml:space="preserve"> Is a phased vertical-integration plan (imported feedstock initially, domestic added later) acceptable if domestic NBR isn't available in sufficient quantity within 24 months?</w:t>
      </w:r>
    </w:p>
    <w:p w14:paraId="0B48FFD6" w14:textId="12D14798" w:rsidR="004F4EFB" w:rsidRDefault="00FE120D">
      <w:pPr>
        <w:pStyle w:val="a-text"/>
        <w:spacing w:after="60" w:afterAutospacing="0"/>
        <w:divId w:val="1485269204"/>
        <w:rPr>
          <w:rFonts w:ascii="Calibri" w:hAnsi="Calibri" w:cs="Calibri"/>
          <w:color w:val="000000"/>
          <w:sz w:val="22"/>
          <w:szCs w:val="22"/>
        </w:rPr>
      </w:pPr>
      <w:r>
        <w:rPr>
          <w:rFonts w:ascii="Calibri" w:hAnsi="Calibri" w:cs="Calibri"/>
          <w:color w:val="000000"/>
          <w:sz w:val="22"/>
          <w:szCs w:val="22"/>
        </w:rPr>
        <w:t xml:space="preserve">A phased sourcing plan is acceptable provided that the performer hits Manufacturing Readiness Level (MRL) 10 utilizing a secure supply chain before the conclusion of the 24-month period of performance. </w:t>
      </w:r>
    </w:p>
    <w:p w14:paraId="265FE8B4" w14:textId="725F5530" w:rsidR="005F139E" w:rsidRPr="002169EC" w:rsidRDefault="00FE120D" w:rsidP="00634C7E">
      <w:pPr>
        <w:pStyle w:val="a-text"/>
        <w:spacing w:after="60" w:afterAutospacing="0"/>
        <w:ind w:left="0"/>
        <w:divId w:val="998389307"/>
        <w:rPr>
          <w:rFonts w:ascii="Calibri" w:hAnsi="Calibri" w:cs="Calibri"/>
          <w:b/>
          <w:bCs/>
          <w:color w:val="000000"/>
          <w:sz w:val="22"/>
          <w:szCs w:val="22"/>
        </w:rPr>
      </w:pPr>
      <w:r>
        <w:rPr>
          <w:rStyle w:val="q-num1"/>
          <w:rFonts w:ascii="Calibri" w:hAnsi="Calibri" w:cs="Calibri"/>
          <w:sz w:val="22"/>
          <w:szCs w:val="22"/>
        </w:rPr>
        <w:t>[4]</w:t>
      </w:r>
      <w:r>
        <w:rPr>
          <w:rFonts w:ascii="Calibri" w:hAnsi="Calibri" w:cs="Calibri"/>
          <w:color w:val="000000"/>
          <w:sz w:val="22"/>
          <w:szCs w:val="22"/>
        </w:rPr>
        <w:t xml:space="preserve"> </w:t>
      </w:r>
      <w:r w:rsidRPr="002169EC">
        <w:rPr>
          <w:rFonts w:ascii="Calibri" w:hAnsi="Calibri" w:cs="Calibri"/>
          <w:b/>
          <w:bCs/>
          <w:color w:val="000000"/>
          <w:sz w:val="22"/>
          <w:szCs w:val="22"/>
        </w:rPr>
        <w:t>Does "vertically integrated</w:t>
      </w:r>
      <w:r w:rsidR="00E64CC1" w:rsidRPr="002169EC">
        <w:rPr>
          <w:rFonts w:ascii="Calibri" w:hAnsi="Calibri" w:cs="Calibri"/>
          <w:b/>
          <w:bCs/>
          <w:color w:val="000000"/>
          <w:sz w:val="22"/>
          <w:szCs w:val="22"/>
        </w:rPr>
        <w:t>”</w:t>
      </w:r>
      <w:r w:rsidRPr="002169EC">
        <w:rPr>
          <w:rFonts w:ascii="Calibri" w:hAnsi="Calibri" w:cs="Calibri"/>
          <w:b/>
          <w:bCs/>
          <w:color w:val="000000"/>
          <w:sz w:val="22"/>
          <w:szCs w:val="22"/>
        </w:rPr>
        <w:t xml:space="preserve"> apply to Minimum Eligibility Criteria (2.5) or only Technical Approach evaluation (4.5)?</w:t>
      </w:r>
    </w:p>
    <w:p w14:paraId="486F16CF" w14:textId="786DCE25" w:rsidR="005F139E" w:rsidRDefault="00FE120D">
      <w:pPr>
        <w:pStyle w:val="a-text"/>
        <w:spacing w:after="60" w:afterAutospacing="0"/>
        <w:divId w:val="998389307"/>
        <w:rPr>
          <w:rFonts w:ascii="Calibri" w:hAnsi="Calibri" w:cs="Calibri"/>
          <w:color w:val="000000"/>
          <w:sz w:val="22"/>
          <w:szCs w:val="22"/>
        </w:rPr>
      </w:pPr>
      <w:r>
        <w:rPr>
          <w:rFonts w:ascii="Calibri" w:hAnsi="Calibri" w:cs="Calibri"/>
          <w:color w:val="000000"/>
          <w:sz w:val="22"/>
          <w:szCs w:val="22"/>
        </w:rPr>
        <w:t>The term "vertically integrated" applies strictly to the Technical Approach evaluation criteria (RPP Section 4.5) and is not a RPP Section 2.5 Minimum Eligibility Criterion.</w:t>
      </w:r>
    </w:p>
    <w:p w14:paraId="68CADFBC" w14:textId="77777777" w:rsidR="005F139E" w:rsidRDefault="00FE120D">
      <w:pPr>
        <w:pStyle w:val="q-text"/>
        <w:spacing w:before="60" w:beforeAutospacing="0"/>
        <w:divId w:val="280917117"/>
        <w:rPr>
          <w:rFonts w:ascii="Calibri" w:hAnsi="Calibri" w:cs="Calibri"/>
          <w:color w:val="000000"/>
          <w:sz w:val="22"/>
          <w:szCs w:val="22"/>
        </w:rPr>
      </w:pPr>
      <w:r>
        <w:rPr>
          <w:rStyle w:val="q-num1"/>
          <w:rFonts w:ascii="Calibri" w:hAnsi="Calibri" w:cs="Calibri"/>
          <w:b/>
          <w:bCs/>
          <w:sz w:val="22"/>
          <w:szCs w:val="22"/>
        </w:rPr>
        <w:t>[29]</w:t>
      </w:r>
      <w:r>
        <w:rPr>
          <w:rFonts w:ascii="Calibri" w:hAnsi="Calibri" w:cs="Calibri"/>
          <w:color w:val="000000"/>
          <w:sz w:val="22"/>
          <w:szCs w:val="22"/>
        </w:rPr>
        <w:t xml:space="preserve"> Can the government accept/require TAA-compliant NBR sourcing per OMB and EO guidance while using American-made NBR as much as possible?</w:t>
      </w:r>
    </w:p>
    <w:p w14:paraId="49F615A6" w14:textId="46977722" w:rsidR="005F139E" w:rsidRPr="0055455A" w:rsidRDefault="00092994" w:rsidP="00141B0F">
      <w:pPr>
        <w:pStyle w:val="a-text"/>
        <w:spacing w:after="60" w:afterAutospacing="0"/>
        <w:divId w:val="280917117"/>
        <w:rPr>
          <w:rFonts w:ascii="Calibri" w:hAnsi="Calibri" w:cs="Calibri"/>
          <w:strike/>
          <w:color w:val="000000"/>
          <w:sz w:val="22"/>
          <w:szCs w:val="22"/>
        </w:rPr>
      </w:pPr>
      <w:r>
        <w:rPr>
          <w:rFonts w:ascii="Calibri" w:hAnsi="Calibri" w:cs="Calibri"/>
          <w:color w:val="000000"/>
          <w:sz w:val="22"/>
          <w:szCs w:val="22"/>
        </w:rPr>
        <w:t>Yes, r</w:t>
      </w:r>
      <w:r w:rsidR="00FE120D">
        <w:rPr>
          <w:rFonts w:ascii="Calibri" w:hAnsi="Calibri" w:cs="Calibri"/>
          <w:color w:val="000000"/>
          <w:sz w:val="22"/>
          <w:szCs w:val="22"/>
        </w:rPr>
        <w:t xml:space="preserve">aw materials must be sourced domestically to the maximum extent practicable. </w:t>
      </w:r>
      <w:r>
        <w:rPr>
          <w:rFonts w:ascii="Calibri" w:hAnsi="Calibri" w:cs="Calibri"/>
          <w:color w:val="000000"/>
          <w:sz w:val="22"/>
          <w:szCs w:val="22"/>
        </w:rPr>
        <w:t>Foreign sources must be TAA compliant.</w:t>
      </w:r>
    </w:p>
    <w:p w14:paraId="00A95FCB" w14:textId="525A168E" w:rsidR="005F139E" w:rsidRDefault="00FE120D">
      <w:pPr>
        <w:pStyle w:val="q-text"/>
        <w:spacing w:before="60" w:beforeAutospacing="0"/>
        <w:divId w:val="282659745"/>
        <w:rPr>
          <w:rFonts w:ascii="Calibri" w:hAnsi="Calibri" w:cs="Calibri"/>
          <w:color w:val="000000"/>
          <w:sz w:val="22"/>
          <w:szCs w:val="22"/>
        </w:rPr>
      </w:pPr>
      <w:r>
        <w:rPr>
          <w:rStyle w:val="q-num1"/>
          <w:rFonts w:ascii="Calibri" w:hAnsi="Calibri" w:cs="Calibri"/>
          <w:b/>
          <w:bCs/>
          <w:sz w:val="22"/>
          <w:szCs w:val="22"/>
        </w:rPr>
        <w:t>[62]</w:t>
      </w:r>
      <w:r>
        <w:rPr>
          <w:rFonts w:ascii="Calibri" w:hAnsi="Calibri" w:cs="Calibri"/>
          <w:color w:val="000000"/>
          <w:sz w:val="22"/>
          <w:szCs w:val="22"/>
        </w:rPr>
        <w:t xml:space="preserve"> Is expansion of upstream feedstock production capacity (NBR latex) within scope of this RPP?</w:t>
      </w:r>
    </w:p>
    <w:p w14:paraId="7CCCA417" w14:textId="460975E0" w:rsidR="005F139E" w:rsidRDefault="00FE120D">
      <w:pPr>
        <w:pStyle w:val="a-text"/>
        <w:spacing w:after="60" w:afterAutospacing="0"/>
        <w:divId w:val="282659745"/>
        <w:rPr>
          <w:rFonts w:ascii="Calibri" w:hAnsi="Calibri" w:cs="Calibri"/>
          <w:color w:val="000000"/>
          <w:sz w:val="22"/>
          <w:szCs w:val="22"/>
        </w:rPr>
      </w:pPr>
      <w:r>
        <w:rPr>
          <w:rFonts w:ascii="Calibri" w:hAnsi="Calibri" w:cs="Calibri"/>
          <w:color w:val="000000"/>
          <w:sz w:val="22"/>
          <w:szCs w:val="22"/>
        </w:rPr>
        <w:t xml:space="preserve">The scope explicitly aims to develop high-capacity manufacturers that can source and produce both the NBR rubber </w:t>
      </w:r>
      <w:proofErr w:type="gramStart"/>
      <w:r>
        <w:rPr>
          <w:rFonts w:ascii="Calibri" w:hAnsi="Calibri" w:cs="Calibri"/>
          <w:color w:val="000000"/>
          <w:sz w:val="22"/>
          <w:szCs w:val="22"/>
        </w:rPr>
        <w:t>feedstock</w:t>
      </w:r>
      <w:proofErr w:type="gramEnd"/>
      <w:r>
        <w:rPr>
          <w:rFonts w:ascii="Calibri" w:hAnsi="Calibri" w:cs="Calibri"/>
          <w:color w:val="000000"/>
          <w:sz w:val="22"/>
          <w:szCs w:val="22"/>
        </w:rPr>
        <w:t xml:space="preserve"> and the nitrile gloves themselves to build a vertically integrated base.</w:t>
      </w:r>
    </w:p>
    <w:p w14:paraId="51C01325" w14:textId="77777777" w:rsidR="005F139E" w:rsidRDefault="00FE120D">
      <w:pPr>
        <w:pStyle w:val="q-text"/>
        <w:spacing w:before="60" w:beforeAutospacing="0"/>
        <w:divId w:val="1020936892"/>
        <w:rPr>
          <w:rFonts w:ascii="Calibri" w:hAnsi="Calibri" w:cs="Calibri"/>
          <w:color w:val="000000"/>
          <w:sz w:val="22"/>
          <w:szCs w:val="22"/>
        </w:rPr>
      </w:pPr>
      <w:r>
        <w:rPr>
          <w:rStyle w:val="q-num1"/>
          <w:rFonts w:ascii="Calibri" w:hAnsi="Calibri" w:cs="Calibri"/>
          <w:b/>
          <w:bCs/>
          <w:sz w:val="22"/>
          <w:szCs w:val="22"/>
        </w:rPr>
        <w:t>[63]</w:t>
      </w:r>
      <w:r>
        <w:rPr>
          <w:rFonts w:ascii="Calibri" w:hAnsi="Calibri" w:cs="Calibri"/>
          <w:color w:val="000000"/>
          <w:sz w:val="22"/>
          <w:szCs w:val="22"/>
        </w:rPr>
        <w:t xml:space="preserve"> Will proposals including Government funding for upstream feedstock capacity be evaluated more favorably than glove-only proposals?</w:t>
      </w:r>
    </w:p>
    <w:p w14:paraId="50AB6382" w14:textId="37AEC759" w:rsidR="005F139E" w:rsidRDefault="00502C38">
      <w:pPr>
        <w:pStyle w:val="a-text"/>
        <w:spacing w:after="60" w:afterAutospacing="0"/>
        <w:divId w:val="1020936892"/>
        <w:rPr>
          <w:rFonts w:ascii="Calibri" w:hAnsi="Calibri" w:cs="Calibri"/>
          <w:color w:val="000000"/>
          <w:sz w:val="22"/>
          <w:szCs w:val="22"/>
        </w:rPr>
      </w:pPr>
      <w:r>
        <w:rPr>
          <w:rFonts w:ascii="Calibri" w:hAnsi="Calibri" w:cs="Calibri"/>
          <w:color w:val="000000"/>
          <w:sz w:val="22"/>
          <w:szCs w:val="22"/>
        </w:rPr>
        <w:t>T</w:t>
      </w:r>
      <w:r w:rsidRPr="00502C38">
        <w:rPr>
          <w:rFonts w:ascii="Calibri" w:hAnsi="Calibri" w:cs="Calibri"/>
          <w:color w:val="000000"/>
          <w:sz w:val="22"/>
          <w:szCs w:val="22"/>
        </w:rPr>
        <w:t xml:space="preserve">he USG aims to develop an agile industrial base with vertically integrated, high-capacity </w:t>
      </w:r>
      <w:proofErr w:type="gramStart"/>
      <w:r w:rsidRPr="00502C38">
        <w:rPr>
          <w:rFonts w:ascii="Calibri" w:hAnsi="Calibri" w:cs="Calibri"/>
          <w:color w:val="000000"/>
          <w:sz w:val="22"/>
          <w:szCs w:val="22"/>
        </w:rPr>
        <w:t>nitrile glove</w:t>
      </w:r>
      <w:proofErr w:type="gramEnd"/>
      <w:r w:rsidRPr="00502C38">
        <w:rPr>
          <w:rFonts w:ascii="Calibri" w:hAnsi="Calibri" w:cs="Calibri"/>
          <w:color w:val="000000"/>
          <w:sz w:val="22"/>
          <w:szCs w:val="22"/>
        </w:rPr>
        <w:t xml:space="preserve"> manufacturers</w:t>
      </w:r>
      <w:r w:rsidR="00FE120D">
        <w:rPr>
          <w:rFonts w:ascii="Calibri" w:hAnsi="Calibri" w:cs="Calibri"/>
          <w:color w:val="000000"/>
          <w:sz w:val="22"/>
          <w:szCs w:val="22"/>
        </w:rPr>
        <w:t>. The RPP highlights that manufacturing both the NBR rubber feedstock and the gloves themselves is the ideal framework to reduce supply chain risks.</w:t>
      </w:r>
    </w:p>
    <w:p w14:paraId="5A154FBC" w14:textId="77777777" w:rsidR="005F139E" w:rsidRDefault="00FE120D">
      <w:pPr>
        <w:pStyle w:val="q-text"/>
        <w:spacing w:before="60" w:beforeAutospacing="0"/>
        <w:divId w:val="946497577"/>
        <w:rPr>
          <w:rFonts w:ascii="Calibri" w:hAnsi="Calibri" w:cs="Calibri"/>
          <w:color w:val="000000"/>
          <w:sz w:val="22"/>
          <w:szCs w:val="22"/>
        </w:rPr>
      </w:pPr>
      <w:r>
        <w:rPr>
          <w:rStyle w:val="q-num1"/>
          <w:rFonts w:ascii="Calibri" w:hAnsi="Calibri" w:cs="Calibri"/>
          <w:b/>
          <w:bCs/>
          <w:sz w:val="22"/>
          <w:szCs w:val="22"/>
        </w:rPr>
        <w:t>[64]</w:t>
      </w:r>
      <w:r>
        <w:rPr>
          <w:rFonts w:ascii="Calibri" w:hAnsi="Calibri" w:cs="Calibri"/>
          <w:color w:val="000000"/>
          <w:sz w:val="22"/>
          <w:szCs w:val="22"/>
        </w:rPr>
        <w:t xml:space="preserve"> How will the requirement to source raw materials domestically to the maximum extent practicable be evaluated given current domestic NBR latex supply?</w:t>
      </w:r>
    </w:p>
    <w:p w14:paraId="7EA0D382" w14:textId="3C2DB89C" w:rsidR="005F139E" w:rsidRDefault="00FE120D">
      <w:pPr>
        <w:pStyle w:val="a-text"/>
        <w:spacing w:after="60" w:afterAutospacing="0"/>
        <w:divId w:val="946497577"/>
        <w:rPr>
          <w:rFonts w:ascii="Calibri" w:hAnsi="Calibri" w:cs="Calibri"/>
          <w:color w:val="000000"/>
          <w:sz w:val="22"/>
          <w:szCs w:val="22"/>
        </w:rPr>
      </w:pPr>
      <w:r>
        <w:rPr>
          <w:rFonts w:ascii="Calibri" w:hAnsi="Calibri" w:cs="Calibri"/>
          <w:color w:val="000000"/>
          <w:sz w:val="22"/>
          <w:szCs w:val="22"/>
        </w:rPr>
        <w:t xml:space="preserve">Factor 1 </w:t>
      </w:r>
      <w:r w:rsidR="00D57715">
        <w:rPr>
          <w:rFonts w:ascii="Calibri" w:hAnsi="Calibri" w:cs="Calibri"/>
          <w:color w:val="000000"/>
          <w:sz w:val="22"/>
          <w:szCs w:val="22"/>
        </w:rPr>
        <w:t>– Technical Approach/Solution evaluates the</w:t>
      </w:r>
      <w:r>
        <w:rPr>
          <w:rFonts w:ascii="Calibri" w:hAnsi="Calibri" w:cs="Calibri"/>
          <w:color w:val="000000"/>
          <w:sz w:val="22"/>
          <w:szCs w:val="22"/>
        </w:rPr>
        <w:t xml:space="preserve"> </w:t>
      </w:r>
      <w:r w:rsidR="00D57715">
        <w:rPr>
          <w:rFonts w:ascii="Calibri" w:hAnsi="Calibri" w:cs="Calibri"/>
          <w:color w:val="000000"/>
          <w:sz w:val="22"/>
          <w:szCs w:val="22"/>
        </w:rPr>
        <w:t>relevancy,</w:t>
      </w:r>
      <w:r>
        <w:rPr>
          <w:rFonts w:ascii="Calibri" w:hAnsi="Calibri" w:cs="Calibri"/>
          <w:color w:val="000000"/>
          <w:sz w:val="22"/>
          <w:szCs w:val="22"/>
        </w:rPr>
        <w:t xml:space="preserve"> thoroughness, completeness, and feasibility of the</w:t>
      </w:r>
      <w:r w:rsidR="00D57715">
        <w:rPr>
          <w:rFonts w:ascii="Calibri" w:hAnsi="Calibri" w:cs="Calibri"/>
          <w:color w:val="000000"/>
          <w:sz w:val="22"/>
          <w:szCs w:val="22"/>
        </w:rPr>
        <w:t xml:space="preserve"> </w:t>
      </w:r>
      <w:r w:rsidR="0076424D">
        <w:rPr>
          <w:rFonts w:ascii="Calibri" w:hAnsi="Calibri" w:cs="Calibri"/>
          <w:color w:val="000000"/>
          <w:sz w:val="22"/>
          <w:szCs w:val="22"/>
        </w:rPr>
        <w:t>proposed approach</w:t>
      </w:r>
      <w:r>
        <w:rPr>
          <w:rFonts w:ascii="Calibri" w:hAnsi="Calibri" w:cs="Calibri"/>
          <w:color w:val="000000"/>
          <w:sz w:val="22"/>
          <w:szCs w:val="22"/>
        </w:rPr>
        <w:t>.</w:t>
      </w:r>
    </w:p>
    <w:p w14:paraId="7ADF17DC" w14:textId="77777777" w:rsidR="005F139E" w:rsidRDefault="00FE120D">
      <w:pPr>
        <w:pStyle w:val="q-text"/>
        <w:spacing w:before="60" w:beforeAutospacing="0"/>
        <w:divId w:val="134759946"/>
        <w:rPr>
          <w:rFonts w:ascii="Calibri" w:hAnsi="Calibri" w:cs="Calibri"/>
          <w:color w:val="000000"/>
          <w:sz w:val="22"/>
          <w:szCs w:val="22"/>
        </w:rPr>
      </w:pPr>
      <w:r>
        <w:rPr>
          <w:rStyle w:val="q-num1"/>
          <w:rFonts w:ascii="Calibri" w:hAnsi="Calibri" w:cs="Calibri"/>
          <w:b/>
          <w:bCs/>
          <w:sz w:val="22"/>
          <w:szCs w:val="22"/>
        </w:rPr>
        <w:lastRenderedPageBreak/>
        <w:t>[65]</w:t>
      </w:r>
      <w:r>
        <w:rPr>
          <w:rFonts w:ascii="Calibri" w:hAnsi="Calibri" w:cs="Calibri"/>
          <w:color w:val="000000"/>
          <w:sz w:val="22"/>
          <w:szCs w:val="22"/>
        </w:rPr>
        <w:t xml:space="preserve"> Does a sourcing plan </w:t>
      </w:r>
      <w:proofErr w:type="gramStart"/>
      <w:r>
        <w:rPr>
          <w:rFonts w:ascii="Calibri" w:hAnsi="Calibri" w:cs="Calibri"/>
          <w:color w:val="000000"/>
          <w:sz w:val="22"/>
          <w:szCs w:val="22"/>
        </w:rPr>
        <w:t>committing</w:t>
      </w:r>
      <w:proofErr w:type="gramEnd"/>
      <w:r>
        <w:rPr>
          <w:rFonts w:ascii="Calibri" w:hAnsi="Calibri" w:cs="Calibri"/>
          <w:color w:val="000000"/>
          <w:sz w:val="22"/>
          <w:szCs w:val="22"/>
        </w:rPr>
        <w:t xml:space="preserve"> to qualify and purchase from domestic feedstock suppliers as supply becomes viable satisfy Section 2.2.1?</w:t>
      </w:r>
    </w:p>
    <w:p w14:paraId="5BA35A04" w14:textId="2471BB99" w:rsidR="005F139E" w:rsidRDefault="00FE120D">
      <w:pPr>
        <w:pStyle w:val="a-text"/>
        <w:spacing w:after="60" w:afterAutospacing="0"/>
        <w:divId w:val="134759946"/>
        <w:rPr>
          <w:rFonts w:ascii="Calibri" w:hAnsi="Calibri" w:cs="Calibri"/>
          <w:color w:val="000000"/>
          <w:sz w:val="22"/>
          <w:szCs w:val="22"/>
        </w:rPr>
      </w:pPr>
      <w:r>
        <w:rPr>
          <w:rFonts w:ascii="Calibri" w:hAnsi="Calibri" w:cs="Calibri"/>
          <w:color w:val="000000"/>
          <w:sz w:val="22"/>
          <w:szCs w:val="22"/>
        </w:rPr>
        <w:t>Yes, provided it fulfills the requirement to source domestically to the "maximum extent practicable." Performers must reach full production compliance (MRL 10) within their proposed 24-month timeline.</w:t>
      </w:r>
    </w:p>
    <w:p w14:paraId="24C1387A" w14:textId="77777777" w:rsidR="005F139E" w:rsidRDefault="00FE120D">
      <w:pPr>
        <w:pStyle w:val="q-text"/>
        <w:spacing w:before="60" w:beforeAutospacing="0"/>
        <w:divId w:val="494760652"/>
        <w:rPr>
          <w:rFonts w:ascii="Calibri" w:hAnsi="Calibri" w:cs="Calibri"/>
          <w:color w:val="000000"/>
          <w:sz w:val="22"/>
          <w:szCs w:val="22"/>
        </w:rPr>
      </w:pPr>
      <w:r>
        <w:rPr>
          <w:rStyle w:val="q-num1"/>
          <w:rFonts w:ascii="Calibri" w:hAnsi="Calibri" w:cs="Calibri"/>
          <w:b/>
          <w:bCs/>
          <w:sz w:val="22"/>
          <w:szCs w:val="22"/>
        </w:rPr>
        <w:t>[123]</w:t>
      </w:r>
      <w:r>
        <w:rPr>
          <w:rFonts w:ascii="Calibri" w:hAnsi="Calibri" w:cs="Calibri"/>
          <w:color w:val="000000"/>
          <w:sz w:val="22"/>
          <w:szCs w:val="22"/>
        </w:rPr>
        <w:t xml:space="preserve"> Definition of "maximum extent practicable" and domestic-content threshold; how domestic sourcing/NBR vertical integration is assessed under Factor 1; must NBR feedstock capacity be established within the same 24 months; is NBR feedstock design/permitting/construction eligible for funding and cost-share credit; which domestic NBR producers are eligible sources?</w:t>
      </w:r>
    </w:p>
    <w:p w14:paraId="5A6217C5" w14:textId="44405575" w:rsidR="005F139E" w:rsidRPr="001378AA" w:rsidRDefault="00FE120D" w:rsidP="001378AA">
      <w:pPr>
        <w:pStyle w:val="a-text"/>
        <w:spacing w:after="240" w:afterAutospacing="0"/>
        <w:divId w:val="494760652"/>
        <w:rPr>
          <w:rFonts w:ascii="Calibri" w:hAnsi="Calibri" w:cs="Calibri"/>
          <w:color w:val="000000"/>
          <w:sz w:val="22"/>
          <w:szCs w:val="22"/>
        </w:rPr>
      </w:pPr>
      <w:r>
        <w:rPr>
          <w:rFonts w:ascii="Calibri" w:hAnsi="Calibri" w:cs="Calibri"/>
          <w:color w:val="000000"/>
          <w:sz w:val="22"/>
          <w:szCs w:val="22"/>
        </w:rPr>
        <w:t xml:space="preserve">The Government declines to mandate a fixed mathematical percentage formula for domestic content. </w:t>
      </w:r>
      <w:r w:rsidR="003C08DB">
        <w:rPr>
          <w:rFonts w:ascii="Calibri" w:hAnsi="Calibri" w:cs="Calibri"/>
          <w:color w:val="000000"/>
          <w:sz w:val="22"/>
          <w:szCs w:val="22"/>
        </w:rPr>
        <w:t xml:space="preserve">The </w:t>
      </w:r>
      <w:r w:rsidR="008D7BC6">
        <w:rPr>
          <w:rFonts w:ascii="Calibri" w:hAnsi="Calibri" w:cs="Calibri"/>
          <w:color w:val="000000"/>
          <w:sz w:val="22"/>
          <w:szCs w:val="22"/>
        </w:rPr>
        <w:t xml:space="preserve">RPP </w:t>
      </w:r>
      <w:r w:rsidR="004C4331">
        <w:rPr>
          <w:rFonts w:ascii="Calibri" w:hAnsi="Calibri" w:cs="Calibri"/>
          <w:color w:val="000000"/>
          <w:sz w:val="22"/>
          <w:szCs w:val="22"/>
        </w:rPr>
        <w:t xml:space="preserve">has been </w:t>
      </w:r>
      <w:r w:rsidR="00AF7CC9">
        <w:rPr>
          <w:rFonts w:ascii="Calibri" w:hAnsi="Calibri" w:cs="Calibri"/>
          <w:color w:val="000000"/>
          <w:sz w:val="22"/>
          <w:szCs w:val="22"/>
        </w:rPr>
        <w:t xml:space="preserve">updated </w:t>
      </w:r>
      <w:r w:rsidR="003C08DB">
        <w:rPr>
          <w:rFonts w:ascii="Calibri" w:hAnsi="Calibri" w:cs="Calibri"/>
          <w:color w:val="000000"/>
          <w:sz w:val="22"/>
          <w:szCs w:val="22"/>
        </w:rPr>
        <w:t xml:space="preserve">to </w:t>
      </w:r>
      <w:r w:rsidR="00AF7CC9">
        <w:rPr>
          <w:rFonts w:ascii="Calibri" w:hAnsi="Calibri" w:cs="Calibri"/>
          <w:color w:val="000000"/>
          <w:sz w:val="22"/>
          <w:szCs w:val="22"/>
        </w:rPr>
        <w:t>define</w:t>
      </w:r>
      <w:r w:rsidR="001E456B">
        <w:rPr>
          <w:rFonts w:ascii="Calibri" w:hAnsi="Calibri" w:cs="Calibri"/>
          <w:color w:val="000000"/>
          <w:sz w:val="22"/>
          <w:szCs w:val="22"/>
        </w:rPr>
        <w:t xml:space="preserve"> </w:t>
      </w:r>
      <w:r w:rsidR="00F357CE">
        <w:rPr>
          <w:rFonts w:ascii="Calibri" w:hAnsi="Calibri" w:cs="Calibri"/>
          <w:color w:val="000000"/>
          <w:sz w:val="22"/>
          <w:szCs w:val="22"/>
        </w:rPr>
        <w:t>maximum extent practicable.</w:t>
      </w:r>
      <w:r>
        <w:rPr>
          <w:rFonts w:ascii="Calibri" w:hAnsi="Calibri" w:cs="Calibri"/>
          <w:color w:val="000000"/>
          <w:sz w:val="22"/>
          <w:szCs w:val="22"/>
        </w:rPr>
        <w:t xml:space="preserve"> The 24-month timeline is </w:t>
      </w:r>
      <w:proofErr w:type="gramStart"/>
      <w:r>
        <w:rPr>
          <w:rFonts w:ascii="Calibri" w:hAnsi="Calibri" w:cs="Calibri"/>
          <w:color w:val="000000"/>
          <w:sz w:val="22"/>
          <w:szCs w:val="22"/>
        </w:rPr>
        <w:t>a fixed</w:t>
      </w:r>
      <w:proofErr w:type="gramEnd"/>
      <w:r w:rsidR="00634C7E">
        <w:rPr>
          <w:rFonts w:ascii="Calibri" w:hAnsi="Calibri" w:cs="Calibri"/>
          <w:color w:val="000000"/>
          <w:sz w:val="22"/>
          <w:szCs w:val="22"/>
        </w:rPr>
        <w:t xml:space="preserve"> </w:t>
      </w:r>
      <w:r w:rsidR="006963D7">
        <w:rPr>
          <w:rFonts w:ascii="Calibri" w:hAnsi="Calibri" w:cs="Calibri"/>
          <w:color w:val="000000"/>
          <w:sz w:val="22"/>
          <w:szCs w:val="22"/>
        </w:rPr>
        <w:t xml:space="preserve">and </w:t>
      </w:r>
      <w:r>
        <w:rPr>
          <w:rFonts w:ascii="Calibri" w:hAnsi="Calibri" w:cs="Calibri"/>
          <w:color w:val="000000"/>
          <w:sz w:val="22"/>
          <w:szCs w:val="22"/>
        </w:rPr>
        <w:t>non-negotiable</w:t>
      </w:r>
      <w:r w:rsidR="004C7665">
        <w:rPr>
          <w:rFonts w:ascii="Calibri" w:hAnsi="Calibri" w:cs="Calibri"/>
          <w:color w:val="000000"/>
          <w:sz w:val="22"/>
          <w:szCs w:val="22"/>
        </w:rPr>
        <w:t>. A</w:t>
      </w:r>
      <w:r>
        <w:rPr>
          <w:rFonts w:ascii="Calibri" w:hAnsi="Calibri" w:cs="Calibri"/>
          <w:color w:val="000000"/>
          <w:sz w:val="22"/>
          <w:szCs w:val="22"/>
        </w:rPr>
        <w:t xml:space="preserve"> phased vertical integration plan must hit MRL 10 using a fully secure and qualified supply chain before the 24 months conclude. Expanding upstream feedstock lines is within scope; federal funds and cost-share can be applied to build, produce, and install infrastructure yielding both feedstock and finished gloves on-site. </w:t>
      </w:r>
      <w:r w:rsidR="00CF17A9">
        <w:rPr>
          <w:rFonts w:ascii="Calibri" w:hAnsi="Calibri" w:cs="Calibri"/>
          <w:color w:val="000000"/>
          <w:sz w:val="22"/>
          <w:szCs w:val="22"/>
        </w:rPr>
        <w:t>Respondents</w:t>
      </w:r>
      <w:r>
        <w:rPr>
          <w:rFonts w:ascii="Calibri" w:hAnsi="Calibri" w:cs="Calibri"/>
          <w:color w:val="000000"/>
          <w:sz w:val="22"/>
          <w:szCs w:val="22"/>
        </w:rPr>
        <w:t xml:space="preserve"> must identify and qualify their own suppliers independently.</w:t>
      </w:r>
    </w:p>
    <w:p w14:paraId="0036C1FA" w14:textId="77777777" w:rsidR="005F139E" w:rsidRDefault="00FE120D">
      <w:pPr>
        <w:pStyle w:val="Heading2"/>
        <w:rPr>
          <w:rFonts w:ascii="Calibri" w:eastAsia="Times New Roman" w:hAnsi="Calibri" w:cs="Calibri"/>
        </w:rPr>
      </w:pPr>
      <w:r>
        <w:rPr>
          <w:rFonts w:ascii="Calibri" w:eastAsia="Times New Roman" w:hAnsi="Calibri" w:cs="Calibri"/>
        </w:rPr>
        <w:t>2. Total Capacity, Scope of Production &amp; Options</w:t>
      </w:r>
    </w:p>
    <w:p w14:paraId="4FBC4C64" w14:textId="77777777" w:rsidR="005F139E" w:rsidRDefault="00FE120D">
      <w:pPr>
        <w:pStyle w:val="q-text"/>
        <w:spacing w:before="60" w:beforeAutospacing="0"/>
        <w:divId w:val="688989289"/>
        <w:rPr>
          <w:rFonts w:ascii="Calibri" w:hAnsi="Calibri" w:cs="Calibri"/>
          <w:color w:val="000000"/>
          <w:sz w:val="22"/>
          <w:szCs w:val="22"/>
        </w:rPr>
      </w:pPr>
      <w:r>
        <w:rPr>
          <w:rStyle w:val="q-num1"/>
          <w:rFonts w:ascii="Calibri" w:hAnsi="Calibri" w:cs="Calibri"/>
          <w:b/>
          <w:bCs/>
          <w:sz w:val="22"/>
          <w:szCs w:val="22"/>
        </w:rPr>
        <w:t>[7]</w:t>
      </w:r>
      <w:r>
        <w:rPr>
          <w:rFonts w:ascii="Calibri" w:hAnsi="Calibri" w:cs="Calibri"/>
          <w:color w:val="000000"/>
          <w:sz w:val="22"/>
          <w:szCs w:val="22"/>
        </w:rPr>
        <w:t xml:space="preserve"> Will the Government consider a design-to-build approach allowing scope/design to be optimized around available funding and schedule?</w:t>
      </w:r>
    </w:p>
    <w:p w14:paraId="05CB777E" w14:textId="646E3ED2" w:rsidR="005F139E" w:rsidRDefault="00FE120D">
      <w:pPr>
        <w:pStyle w:val="a-text"/>
        <w:spacing w:after="60" w:afterAutospacing="0"/>
        <w:divId w:val="688989289"/>
        <w:rPr>
          <w:rFonts w:ascii="Calibri" w:hAnsi="Calibri" w:cs="Calibri"/>
          <w:color w:val="000000"/>
          <w:sz w:val="22"/>
          <w:szCs w:val="22"/>
        </w:rPr>
      </w:pPr>
      <w:r>
        <w:rPr>
          <w:rFonts w:ascii="Calibri" w:hAnsi="Calibri" w:cs="Calibri"/>
          <w:color w:val="000000"/>
          <w:sz w:val="22"/>
          <w:szCs w:val="22"/>
        </w:rPr>
        <w:t>No, a design-to-build approach that allows the performance scope to decrease dynamically is unacceptable. The project must fully guarantee the baseline objective of an additional 500 million gloves of annual capacity.</w:t>
      </w:r>
    </w:p>
    <w:p w14:paraId="69B3D27F" w14:textId="77777777" w:rsidR="005F139E" w:rsidRDefault="00FE120D">
      <w:pPr>
        <w:pStyle w:val="q-text"/>
        <w:spacing w:before="60" w:beforeAutospacing="0"/>
        <w:divId w:val="1597521023"/>
        <w:rPr>
          <w:rFonts w:ascii="Calibri" w:hAnsi="Calibri" w:cs="Calibri"/>
          <w:color w:val="000000"/>
          <w:sz w:val="22"/>
          <w:szCs w:val="22"/>
        </w:rPr>
      </w:pPr>
      <w:r>
        <w:rPr>
          <w:rStyle w:val="q-num1"/>
          <w:rFonts w:ascii="Calibri" w:hAnsi="Calibri" w:cs="Calibri"/>
          <w:b/>
          <w:bCs/>
          <w:sz w:val="22"/>
          <w:szCs w:val="22"/>
        </w:rPr>
        <w:t>[8]</w:t>
      </w:r>
      <w:r>
        <w:rPr>
          <w:rFonts w:ascii="Calibri" w:hAnsi="Calibri" w:cs="Calibri"/>
          <w:color w:val="000000"/>
          <w:sz w:val="22"/>
          <w:szCs w:val="22"/>
        </w:rPr>
        <w:t xml:space="preserve"> What does the government want to see for total capacity, given economic cost breaks at higher production rates?</w:t>
      </w:r>
    </w:p>
    <w:p w14:paraId="329F350B" w14:textId="3BC221A7" w:rsidR="005F139E" w:rsidRDefault="00FE120D" w:rsidP="00625639">
      <w:pPr>
        <w:pStyle w:val="a-text"/>
        <w:spacing w:after="60" w:afterAutospacing="0"/>
        <w:divId w:val="1597521023"/>
        <w:rPr>
          <w:rFonts w:ascii="Calibri" w:hAnsi="Calibri" w:cs="Calibri"/>
          <w:color w:val="000000"/>
          <w:sz w:val="22"/>
          <w:szCs w:val="22"/>
        </w:rPr>
      </w:pPr>
      <w:r>
        <w:rPr>
          <w:rFonts w:ascii="Calibri" w:hAnsi="Calibri" w:cs="Calibri"/>
          <w:color w:val="000000"/>
          <w:sz w:val="22"/>
          <w:szCs w:val="22"/>
        </w:rPr>
        <w:t xml:space="preserve">The minimum acceptable expansion baseline is 500 million gloves per year. </w:t>
      </w:r>
    </w:p>
    <w:p w14:paraId="20C2B7D9" w14:textId="26F79463" w:rsidR="005F139E" w:rsidRDefault="00FE120D">
      <w:pPr>
        <w:pStyle w:val="q-text"/>
        <w:spacing w:before="60" w:beforeAutospacing="0"/>
        <w:divId w:val="1560045185"/>
        <w:rPr>
          <w:rFonts w:ascii="Calibri" w:hAnsi="Calibri" w:cs="Calibri"/>
          <w:color w:val="000000"/>
          <w:sz w:val="22"/>
          <w:szCs w:val="22"/>
        </w:rPr>
      </w:pPr>
      <w:r>
        <w:rPr>
          <w:rStyle w:val="q-num1"/>
          <w:rFonts w:ascii="Calibri" w:hAnsi="Calibri" w:cs="Calibri"/>
          <w:b/>
          <w:bCs/>
          <w:sz w:val="22"/>
          <w:szCs w:val="22"/>
        </w:rPr>
        <w:t>[22]</w:t>
      </w:r>
      <w:r>
        <w:rPr>
          <w:rFonts w:ascii="Calibri" w:hAnsi="Calibri" w:cs="Calibri"/>
          <w:color w:val="000000"/>
          <w:sz w:val="22"/>
          <w:szCs w:val="22"/>
        </w:rPr>
        <w:t xml:space="preserve"> May </w:t>
      </w:r>
      <w:r w:rsidR="007F7856">
        <w:rPr>
          <w:rFonts w:ascii="Calibri" w:hAnsi="Calibri" w:cs="Calibri"/>
          <w:color w:val="000000"/>
          <w:sz w:val="22"/>
          <w:szCs w:val="22"/>
        </w:rPr>
        <w:t>a</w:t>
      </w:r>
      <w:r>
        <w:rPr>
          <w:rFonts w:ascii="Calibri" w:hAnsi="Calibri" w:cs="Calibri"/>
          <w:color w:val="000000"/>
          <w:sz w:val="22"/>
          <w:szCs w:val="22"/>
        </w:rPr>
        <w:t xml:space="preserve"> </w:t>
      </w:r>
      <w:r w:rsidR="00E366AD">
        <w:rPr>
          <w:rFonts w:ascii="Calibri" w:hAnsi="Calibri" w:cs="Calibri"/>
          <w:color w:val="000000"/>
          <w:sz w:val="22"/>
          <w:szCs w:val="22"/>
        </w:rPr>
        <w:t>Respondent</w:t>
      </w:r>
      <w:r>
        <w:rPr>
          <w:rFonts w:ascii="Calibri" w:hAnsi="Calibri" w:cs="Calibri"/>
          <w:color w:val="000000"/>
          <w:sz w:val="22"/>
          <w:szCs w:val="22"/>
        </w:rPr>
        <w:t xml:space="preserve"> propose a base scope plus separately priced capacity options, letting BARDA select the expansion level that fits available funding?</w:t>
      </w:r>
    </w:p>
    <w:p w14:paraId="6913B2EE" w14:textId="2191D664" w:rsidR="005F139E" w:rsidRPr="0055455A" w:rsidRDefault="00CF17A9" w:rsidP="00625639">
      <w:pPr>
        <w:pStyle w:val="a-text"/>
        <w:spacing w:after="60" w:afterAutospacing="0"/>
        <w:divId w:val="1560045185"/>
        <w:rPr>
          <w:rFonts w:ascii="Calibri" w:hAnsi="Calibri" w:cs="Calibri"/>
          <w:strike/>
          <w:color w:val="000000"/>
          <w:sz w:val="22"/>
          <w:szCs w:val="22"/>
        </w:rPr>
      </w:pPr>
      <w:r>
        <w:rPr>
          <w:rFonts w:ascii="Calibri" w:hAnsi="Calibri" w:cs="Calibri"/>
          <w:color w:val="000000"/>
          <w:sz w:val="22"/>
          <w:szCs w:val="22"/>
        </w:rPr>
        <w:t>Respondents</w:t>
      </w:r>
      <w:r w:rsidR="00FE120D">
        <w:rPr>
          <w:rFonts w:ascii="Calibri" w:hAnsi="Calibri" w:cs="Calibri"/>
          <w:color w:val="000000"/>
          <w:sz w:val="22"/>
          <w:szCs w:val="22"/>
        </w:rPr>
        <w:t xml:space="preserve"> may propose a base scope plus separately priced capacity expansion options, provided the baseline option independently hits the 500-million annual glove floor. </w:t>
      </w:r>
    </w:p>
    <w:p w14:paraId="33C45005" w14:textId="77777777" w:rsidR="005F139E" w:rsidRDefault="00FE120D">
      <w:pPr>
        <w:pStyle w:val="q-text"/>
        <w:spacing w:before="60" w:beforeAutospacing="0"/>
        <w:divId w:val="2029065893"/>
        <w:rPr>
          <w:rFonts w:ascii="Calibri" w:hAnsi="Calibri" w:cs="Calibri"/>
          <w:color w:val="000000"/>
          <w:sz w:val="22"/>
          <w:szCs w:val="22"/>
        </w:rPr>
      </w:pPr>
      <w:r>
        <w:rPr>
          <w:rStyle w:val="q-num1"/>
          <w:rFonts w:ascii="Calibri" w:hAnsi="Calibri" w:cs="Calibri"/>
          <w:b/>
          <w:bCs/>
          <w:sz w:val="22"/>
          <w:szCs w:val="22"/>
        </w:rPr>
        <w:t>[23]</w:t>
      </w:r>
      <w:r>
        <w:rPr>
          <w:rFonts w:ascii="Calibri" w:hAnsi="Calibri" w:cs="Calibri"/>
          <w:color w:val="000000"/>
          <w:sz w:val="22"/>
          <w:szCs w:val="22"/>
        </w:rPr>
        <w:t xml:space="preserve"> If capacity options are permitted, must each option independently satisfy the 50% cost-share requirement?</w:t>
      </w:r>
    </w:p>
    <w:p w14:paraId="0D3E9774" w14:textId="5D3D450D" w:rsidR="005F139E" w:rsidRPr="0055455A" w:rsidRDefault="00CF17A9" w:rsidP="00625639">
      <w:pPr>
        <w:pStyle w:val="a-text"/>
        <w:spacing w:after="60" w:afterAutospacing="0"/>
        <w:divId w:val="2029065893"/>
        <w:rPr>
          <w:rFonts w:ascii="Calibri" w:hAnsi="Calibri" w:cs="Calibri"/>
          <w:strike/>
          <w:color w:val="000000"/>
          <w:sz w:val="22"/>
          <w:szCs w:val="22"/>
        </w:rPr>
      </w:pPr>
      <w:r>
        <w:rPr>
          <w:rFonts w:ascii="Calibri" w:hAnsi="Calibri" w:cs="Calibri"/>
          <w:color w:val="000000"/>
          <w:sz w:val="22"/>
          <w:szCs w:val="22"/>
        </w:rPr>
        <w:t>Respondents</w:t>
      </w:r>
      <w:r w:rsidR="00FE120D">
        <w:rPr>
          <w:rFonts w:ascii="Calibri" w:hAnsi="Calibri" w:cs="Calibri"/>
          <w:color w:val="000000"/>
          <w:sz w:val="22"/>
          <w:szCs w:val="22"/>
        </w:rPr>
        <w:t xml:space="preserve"> may propose a base scope plus separately priced capacity expansion options, provided the baseline option independently hits the 500-million annual glove floor. </w:t>
      </w:r>
    </w:p>
    <w:p w14:paraId="3544E321" w14:textId="77777777" w:rsidR="005F139E" w:rsidRDefault="00FE120D">
      <w:pPr>
        <w:pStyle w:val="q-text"/>
        <w:spacing w:before="60" w:beforeAutospacing="0"/>
        <w:divId w:val="1249852361"/>
        <w:rPr>
          <w:rFonts w:ascii="Calibri" w:hAnsi="Calibri" w:cs="Calibri"/>
          <w:color w:val="000000"/>
          <w:sz w:val="22"/>
          <w:szCs w:val="22"/>
        </w:rPr>
      </w:pPr>
      <w:r>
        <w:rPr>
          <w:rStyle w:val="q-num1"/>
          <w:rFonts w:ascii="Calibri" w:hAnsi="Calibri" w:cs="Calibri"/>
          <w:b/>
          <w:bCs/>
          <w:sz w:val="22"/>
          <w:szCs w:val="22"/>
        </w:rPr>
        <w:t>[71]</w:t>
      </w:r>
      <w:r>
        <w:rPr>
          <w:rFonts w:ascii="Calibri" w:hAnsi="Calibri" w:cs="Calibri"/>
          <w:color w:val="000000"/>
          <w:sz w:val="22"/>
          <w:szCs w:val="22"/>
        </w:rPr>
        <w:t xml:space="preserve"> Guidance on whether Government contemplates tiered awards scaled above 500M gloves/year, e.g., in 500M increments?</w:t>
      </w:r>
    </w:p>
    <w:p w14:paraId="4C5A866F" w14:textId="74A67D28" w:rsidR="0042403B" w:rsidRPr="0055455A" w:rsidRDefault="0042403B" w:rsidP="00625639">
      <w:pPr>
        <w:pStyle w:val="a-text"/>
        <w:spacing w:after="60" w:afterAutospacing="0"/>
        <w:divId w:val="1249852361"/>
        <w:rPr>
          <w:rFonts w:ascii="Calibri" w:hAnsi="Calibri" w:cs="Calibri"/>
          <w:strike/>
          <w:color w:val="000000"/>
          <w:sz w:val="22"/>
          <w:szCs w:val="22"/>
        </w:rPr>
      </w:pPr>
      <w:r w:rsidRPr="0042403B">
        <w:rPr>
          <w:rFonts w:ascii="Calibri" w:hAnsi="Calibri" w:cs="Calibri"/>
          <w:color w:val="000000"/>
          <w:sz w:val="22"/>
          <w:szCs w:val="22"/>
        </w:rPr>
        <w:t>The Government does not contemplate predefined tiers or fixed capacity increments (e.g., 500M-unit steps) above the 500-million-glove annual baseline. Instead, a Respondent seeking to propose capacity above the baseline should do so through the base-scope-plus-options structure described in Q22 and Q23: the base scope must independently satisfy the 500 million glove minimum, and any additional capacity may be proposed as one or more separately priced capacity expansion options. Each option is evaluated independently under Factor 1 and Factor 3 (see EP Section 3.7.6), and the Government retains discretion to award the base scope alone or together with one or more options, based on the most advantageous solution and available funding. The Government does not anticipate awards being structured around fixed increments beyond this base-plus-options framework.</w:t>
      </w:r>
    </w:p>
    <w:p w14:paraId="2512FA31" w14:textId="77777777" w:rsidR="005F139E" w:rsidRDefault="00FE120D">
      <w:pPr>
        <w:pStyle w:val="Heading2"/>
        <w:rPr>
          <w:rFonts w:ascii="Calibri" w:eastAsia="Times New Roman" w:hAnsi="Calibri" w:cs="Calibri"/>
        </w:rPr>
      </w:pPr>
      <w:r>
        <w:rPr>
          <w:rFonts w:ascii="Calibri" w:eastAsia="Times New Roman" w:hAnsi="Calibri" w:cs="Calibri"/>
        </w:rPr>
        <w:t>3. Product Purchase Commitments / Federal Procurement Linkage</w:t>
      </w:r>
    </w:p>
    <w:p w14:paraId="6414E345" w14:textId="77777777" w:rsidR="005F139E" w:rsidRDefault="00FE120D">
      <w:pPr>
        <w:pStyle w:val="q-text"/>
        <w:spacing w:before="60" w:beforeAutospacing="0"/>
        <w:divId w:val="654455592"/>
        <w:rPr>
          <w:rFonts w:ascii="Calibri" w:hAnsi="Calibri" w:cs="Calibri"/>
          <w:color w:val="000000"/>
          <w:sz w:val="22"/>
          <w:szCs w:val="22"/>
        </w:rPr>
      </w:pPr>
      <w:r>
        <w:rPr>
          <w:rStyle w:val="q-num1"/>
          <w:rFonts w:ascii="Calibri" w:hAnsi="Calibri" w:cs="Calibri"/>
          <w:b/>
          <w:bCs/>
          <w:sz w:val="22"/>
          <w:szCs w:val="22"/>
        </w:rPr>
        <w:t>[9]</w:t>
      </w:r>
      <w:r>
        <w:rPr>
          <w:rFonts w:ascii="Calibri" w:hAnsi="Calibri" w:cs="Calibri"/>
          <w:color w:val="000000"/>
          <w:sz w:val="22"/>
          <w:szCs w:val="22"/>
        </w:rPr>
        <w:t xml:space="preserve"> Does the Government anticipate providing product purchase commitments as part of, or alongside, the cost-share arrangement?</w:t>
      </w:r>
    </w:p>
    <w:p w14:paraId="105FB41F" w14:textId="7A828EFC" w:rsidR="005F139E" w:rsidRPr="0055455A" w:rsidRDefault="00380CBD" w:rsidP="00625639">
      <w:pPr>
        <w:pStyle w:val="a-text"/>
        <w:spacing w:after="60" w:afterAutospacing="0"/>
        <w:divId w:val="654455592"/>
        <w:rPr>
          <w:rFonts w:ascii="Calibri" w:hAnsi="Calibri" w:cs="Calibri"/>
          <w:strike/>
          <w:color w:val="000000"/>
          <w:sz w:val="22"/>
          <w:szCs w:val="22"/>
        </w:rPr>
      </w:pPr>
      <w:r>
        <w:rPr>
          <w:rFonts w:ascii="Calibri" w:hAnsi="Calibri" w:cs="Calibri"/>
          <w:color w:val="000000"/>
          <w:sz w:val="22"/>
          <w:szCs w:val="22"/>
        </w:rPr>
        <w:t>The Government will not provide p</w:t>
      </w:r>
      <w:r w:rsidR="00FE120D">
        <w:rPr>
          <w:rFonts w:ascii="Calibri" w:hAnsi="Calibri" w:cs="Calibri"/>
          <w:color w:val="000000"/>
          <w:sz w:val="22"/>
          <w:szCs w:val="22"/>
        </w:rPr>
        <w:t>urchase commitments</w:t>
      </w:r>
      <w:r w:rsidR="00FA2207">
        <w:rPr>
          <w:rFonts w:ascii="Calibri" w:hAnsi="Calibri" w:cs="Calibri"/>
          <w:color w:val="000000"/>
          <w:sz w:val="22"/>
          <w:szCs w:val="22"/>
        </w:rPr>
        <w:t xml:space="preserve"> for nitrile gloves</w:t>
      </w:r>
      <w:r w:rsidR="00FE120D">
        <w:rPr>
          <w:rFonts w:ascii="Calibri" w:hAnsi="Calibri" w:cs="Calibri"/>
          <w:color w:val="000000"/>
          <w:sz w:val="22"/>
          <w:szCs w:val="22"/>
        </w:rPr>
        <w:t>.</w:t>
      </w:r>
    </w:p>
    <w:p w14:paraId="428DCBE0" w14:textId="77777777" w:rsidR="005F139E" w:rsidRDefault="00FE120D">
      <w:pPr>
        <w:pStyle w:val="q-text"/>
        <w:spacing w:before="60" w:beforeAutospacing="0"/>
        <w:divId w:val="534779283"/>
        <w:rPr>
          <w:rFonts w:ascii="Calibri" w:hAnsi="Calibri" w:cs="Calibri"/>
          <w:color w:val="000000"/>
          <w:sz w:val="22"/>
          <w:szCs w:val="22"/>
        </w:rPr>
      </w:pPr>
      <w:r>
        <w:rPr>
          <w:rStyle w:val="q-num1"/>
          <w:rFonts w:ascii="Calibri" w:hAnsi="Calibri" w:cs="Calibri"/>
          <w:b/>
          <w:bCs/>
          <w:sz w:val="22"/>
          <w:szCs w:val="22"/>
        </w:rPr>
        <w:lastRenderedPageBreak/>
        <w:t>[10]</w:t>
      </w:r>
      <w:r>
        <w:rPr>
          <w:rFonts w:ascii="Calibri" w:hAnsi="Calibri" w:cs="Calibri"/>
          <w:color w:val="000000"/>
          <w:sz w:val="22"/>
          <w:szCs w:val="22"/>
        </w:rPr>
        <w:t xml:space="preserve"> Is the Government interested in purchasing gloves produced during demonstration and validation runs?</w:t>
      </w:r>
    </w:p>
    <w:p w14:paraId="54D31635" w14:textId="7DB44298" w:rsidR="005F139E" w:rsidRPr="0055455A" w:rsidRDefault="00FE120D" w:rsidP="00625639">
      <w:pPr>
        <w:pStyle w:val="a-text"/>
        <w:spacing w:after="60" w:afterAutospacing="0"/>
        <w:divId w:val="534779283"/>
        <w:rPr>
          <w:rFonts w:ascii="Calibri" w:hAnsi="Calibri" w:cs="Calibri"/>
          <w:strike/>
          <w:color w:val="000000"/>
          <w:sz w:val="22"/>
          <w:szCs w:val="22"/>
        </w:rPr>
      </w:pPr>
      <w:r>
        <w:rPr>
          <w:rFonts w:ascii="Calibri" w:hAnsi="Calibri" w:cs="Calibri"/>
          <w:color w:val="000000"/>
          <w:sz w:val="22"/>
          <w:szCs w:val="22"/>
        </w:rPr>
        <w:t xml:space="preserve">The Government </w:t>
      </w:r>
      <w:r w:rsidR="00380CBD">
        <w:rPr>
          <w:rFonts w:ascii="Calibri" w:hAnsi="Calibri" w:cs="Calibri"/>
          <w:color w:val="000000"/>
          <w:sz w:val="22"/>
          <w:szCs w:val="22"/>
        </w:rPr>
        <w:t>will not provide purchase commitments</w:t>
      </w:r>
      <w:r w:rsidR="00577401">
        <w:rPr>
          <w:rFonts w:ascii="Calibri" w:hAnsi="Calibri" w:cs="Calibri"/>
          <w:color w:val="000000"/>
          <w:sz w:val="22"/>
          <w:szCs w:val="22"/>
        </w:rPr>
        <w:t xml:space="preserve"> for</w:t>
      </w:r>
      <w:r>
        <w:rPr>
          <w:rFonts w:ascii="Calibri" w:hAnsi="Calibri" w:cs="Calibri"/>
          <w:color w:val="000000"/>
          <w:sz w:val="22"/>
          <w:szCs w:val="22"/>
        </w:rPr>
        <w:t xml:space="preserve"> nitrile gloves produced during demonstration or validation runs. </w:t>
      </w:r>
    </w:p>
    <w:p w14:paraId="4107D42F" w14:textId="77777777" w:rsidR="005F139E" w:rsidRDefault="00FE120D">
      <w:pPr>
        <w:pStyle w:val="q-text"/>
        <w:spacing w:before="60" w:beforeAutospacing="0"/>
        <w:divId w:val="843133021"/>
        <w:rPr>
          <w:rFonts w:ascii="Calibri" w:hAnsi="Calibri" w:cs="Calibri"/>
          <w:color w:val="000000"/>
          <w:sz w:val="22"/>
          <w:szCs w:val="22"/>
        </w:rPr>
      </w:pPr>
      <w:r>
        <w:rPr>
          <w:rStyle w:val="q-num1"/>
          <w:rFonts w:ascii="Calibri" w:hAnsi="Calibri" w:cs="Calibri"/>
          <w:b/>
          <w:bCs/>
          <w:sz w:val="22"/>
          <w:szCs w:val="22"/>
        </w:rPr>
        <w:t>[30]</w:t>
      </w:r>
      <w:r>
        <w:rPr>
          <w:rFonts w:ascii="Calibri" w:hAnsi="Calibri" w:cs="Calibri"/>
          <w:color w:val="000000"/>
          <w:sz w:val="22"/>
          <w:szCs w:val="22"/>
        </w:rPr>
        <w:t xml:space="preserve"> Is the Government intending to procure a minimum of 500 million gloves/year from award recipients through some mechanism?</w:t>
      </w:r>
    </w:p>
    <w:p w14:paraId="6463DC40" w14:textId="1CDB489C" w:rsidR="005F139E" w:rsidRPr="0055455A" w:rsidRDefault="00FE120D" w:rsidP="00625639">
      <w:pPr>
        <w:pStyle w:val="a-text"/>
        <w:spacing w:after="60" w:afterAutospacing="0"/>
        <w:divId w:val="843133021"/>
        <w:rPr>
          <w:rFonts w:ascii="Calibri" w:hAnsi="Calibri" w:cs="Calibri"/>
          <w:strike/>
          <w:color w:val="000000"/>
          <w:sz w:val="22"/>
          <w:szCs w:val="22"/>
        </w:rPr>
      </w:pPr>
      <w:r>
        <w:rPr>
          <w:rFonts w:ascii="Calibri" w:hAnsi="Calibri" w:cs="Calibri"/>
          <w:color w:val="000000"/>
          <w:sz w:val="22"/>
          <w:szCs w:val="22"/>
        </w:rPr>
        <w:t xml:space="preserve">The </w:t>
      </w:r>
      <w:r w:rsidR="00B65AB5">
        <w:rPr>
          <w:rFonts w:ascii="Calibri" w:hAnsi="Calibri" w:cs="Calibri"/>
          <w:color w:val="000000"/>
          <w:sz w:val="22"/>
          <w:szCs w:val="22"/>
        </w:rPr>
        <w:t xml:space="preserve">Government </w:t>
      </w:r>
      <w:r>
        <w:rPr>
          <w:rFonts w:ascii="Calibri" w:hAnsi="Calibri" w:cs="Calibri"/>
          <w:color w:val="000000"/>
          <w:sz w:val="22"/>
          <w:szCs w:val="22"/>
        </w:rPr>
        <w:t>will not provide purchase commitments</w:t>
      </w:r>
      <w:r w:rsidR="00FA2207">
        <w:rPr>
          <w:rFonts w:ascii="Calibri" w:hAnsi="Calibri" w:cs="Calibri"/>
          <w:color w:val="000000"/>
          <w:sz w:val="22"/>
          <w:szCs w:val="22"/>
        </w:rPr>
        <w:t xml:space="preserve"> for nit</w:t>
      </w:r>
      <w:r w:rsidR="008C013C">
        <w:rPr>
          <w:rFonts w:ascii="Calibri" w:hAnsi="Calibri" w:cs="Calibri"/>
          <w:color w:val="000000"/>
          <w:sz w:val="22"/>
          <w:szCs w:val="22"/>
        </w:rPr>
        <w:t>rile gloves</w:t>
      </w:r>
      <w:r w:rsidR="00577401">
        <w:rPr>
          <w:rFonts w:ascii="Calibri" w:hAnsi="Calibri" w:cs="Calibri"/>
          <w:color w:val="000000"/>
          <w:sz w:val="22"/>
          <w:szCs w:val="22"/>
        </w:rPr>
        <w:t xml:space="preserve">. </w:t>
      </w:r>
    </w:p>
    <w:p w14:paraId="66056089" w14:textId="77777777" w:rsidR="005F139E" w:rsidRDefault="00FE120D">
      <w:pPr>
        <w:pStyle w:val="q-text"/>
        <w:spacing w:before="60" w:beforeAutospacing="0"/>
        <w:divId w:val="2134250465"/>
        <w:rPr>
          <w:rFonts w:ascii="Calibri" w:hAnsi="Calibri" w:cs="Calibri"/>
          <w:color w:val="000000"/>
          <w:sz w:val="22"/>
          <w:szCs w:val="22"/>
        </w:rPr>
      </w:pPr>
      <w:r>
        <w:rPr>
          <w:rStyle w:val="q-num1"/>
          <w:rFonts w:ascii="Calibri" w:hAnsi="Calibri" w:cs="Calibri"/>
          <w:b/>
          <w:bCs/>
          <w:sz w:val="22"/>
          <w:szCs w:val="22"/>
        </w:rPr>
        <w:t>[36]</w:t>
      </w:r>
      <w:r>
        <w:rPr>
          <w:rFonts w:ascii="Calibri" w:hAnsi="Calibri" w:cs="Calibri"/>
          <w:color w:val="000000"/>
          <w:sz w:val="22"/>
          <w:szCs w:val="22"/>
        </w:rPr>
        <w:t xml:space="preserve"> Is there a corresponding commitment or mechanism to direct federal glove purchases toward award recipients?</w:t>
      </w:r>
    </w:p>
    <w:p w14:paraId="77554713" w14:textId="237D3974" w:rsidR="005F139E" w:rsidRPr="0055455A" w:rsidRDefault="00774ECD" w:rsidP="00FA1939">
      <w:pPr>
        <w:pStyle w:val="a-text"/>
        <w:spacing w:after="60" w:afterAutospacing="0"/>
        <w:divId w:val="2134250465"/>
        <w:rPr>
          <w:rFonts w:ascii="Calibri" w:hAnsi="Calibri" w:cs="Calibri"/>
          <w:strike/>
          <w:color w:val="000000"/>
          <w:sz w:val="22"/>
          <w:szCs w:val="22"/>
        </w:rPr>
      </w:pPr>
      <w:r>
        <w:rPr>
          <w:rFonts w:ascii="Calibri" w:hAnsi="Calibri" w:cs="Calibri"/>
          <w:color w:val="000000"/>
          <w:sz w:val="22"/>
          <w:szCs w:val="22"/>
        </w:rPr>
        <w:t>The Government will not provide p</w:t>
      </w:r>
      <w:r w:rsidR="00D16563">
        <w:rPr>
          <w:rFonts w:ascii="Calibri" w:hAnsi="Calibri" w:cs="Calibri"/>
          <w:color w:val="000000"/>
          <w:sz w:val="22"/>
          <w:szCs w:val="22"/>
        </w:rPr>
        <w:t>urchase commitments</w:t>
      </w:r>
      <w:r w:rsidR="00FA5808">
        <w:rPr>
          <w:rFonts w:ascii="Calibri" w:hAnsi="Calibri" w:cs="Calibri"/>
          <w:color w:val="000000"/>
          <w:sz w:val="22"/>
          <w:szCs w:val="22"/>
        </w:rPr>
        <w:t xml:space="preserve"> </w:t>
      </w:r>
      <w:r w:rsidR="008161B0">
        <w:rPr>
          <w:rFonts w:ascii="Calibri" w:hAnsi="Calibri" w:cs="Calibri"/>
          <w:color w:val="000000"/>
          <w:sz w:val="22"/>
          <w:szCs w:val="22"/>
        </w:rPr>
        <w:t>for nitrile gloves</w:t>
      </w:r>
      <w:r w:rsidR="00FA5808">
        <w:rPr>
          <w:rFonts w:ascii="Calibri" w:hAnsi="Calibri" w:cs="Calibri"/>
          <w:color w:val="000000"/>
          <w:sz w:val="22"/>
          <w:szCs w:val="22"/>
        </w:rPr>
        <w:t xml:space="preserve"> or direct federal </w:t>
      </w:r>
      <w:r w:rsidR="000A1B72">
        <w:rPr>
          <w:rFonts w:ascii="Calibri" w:hAnsi="Calibri" w:cs="Calibri"/>
          <w:color w:val="000000"/>
          <w:sz w:val="22"/>
          <w:szCs w:val="22"/>
        </w:rPr>
        <w:t xml:space="preserve">nitrile </w:t>
      </w:r>
      <w:r w:rsidR="00FA5808">
        <w:rPr>
          <w:rFonts w:ascii="Calibri" w:hAnsi="Calibri" w:cs="Calibri"/>
          <w:color w:val="000000"/>
          <w:sz w:val="22"/>
          <w:szCs w:val="22"/>
        </w:rPr>
        <w:t>glove purchases toward award recipients.</w:t>
      </w:r>
    </w:p>
    <w:p w14:paraId="1D94A5E8" w14:textId="77777777" w:rsidR="005F139E" w:rsidRDefault="00FE120D">
      <w:pPr>
        <w:pStyle w:val="q-text"/>
        <w:spacing w:before="60" w:beforeAutospacing="0"/>
        <w:divId w:val="615063224"/>
        <w:rPr>
          <w:rFonts w:ascii="Calibri" w:hAnsi="Calibri" w:cs="Calibri"/>
          <w:color w:val="000000"/>
          <w:sz w:val="22"/>
          <w:szCs w:val="22"/>
        </w:rPr>
      </w:pPr>
      <w:r>
        <w:rPr>
          <w:rStyle w:val="q-num1"/>
          <w:rFonts w:ascii="Calibri" w:hAnsi="Calibri" w:cs="Calibri"/>
          <w:b/>
          <w:bCs/>
          <w:sz w:val="22"/>
          <w:szCs w:val="22"/>
        </w:rPr>
        <w:t>[67]</w:t>
      </w:r>
      <w:r>
        <w:rPr>
          <w:rFonts w:ascii="Calibri" w:hAnsi="Calibri" w:cs="Calibri"/>
          <w:color w:val="000000"/>
          <w:sz w:val="22"/>
          <w:szCs w:val="22"/>
        </w:rPr>
        <w:t xml:space="preserve"> Given nitrile gloves are on the AbilityOne Procurement List, how will BARDA ensure compliance with the Javits Wagner O'Day (JWOD) Act?</w:t>
      </w:r>
    </w:p>
    <w:p w14:paraId="6AAD6E73" w14:textId="1611D423" w:rsidR="005F139E" w:rsidRDefault="00145D27" w:rsidP="00DE5C8C">
      <w:pPr>
        <w:pStyle w:val="a-text"/>
        <w:spacing w:after="60" w:afterAutospacing="0"/>
        <w:divId w:val="615063224"/>
        <w:rPr>
          <w:rFonts w:ascii="Calibri" w:hAnsi="Calibri" w:cs="Calibri"/>
          <w:color w:val="000000"/>
          <w:sz w:val="22"/>
          <w:szCs w:val="22"/>
        </w:rPr>
      </w:pPr>
      <w:r>
        <w:rPr>
          <w:rFonts w:ascii="Calibri" w:hAnsi="Calibri" w:cs="Calibri"/>
          <w:color w:val="000000"/>
          <w:sz w:val="22"/>
          <w:szCs w:val="22"/>
        </w:rPr>
        <w:t xml:space="preserve">The </w:t>
      </w:r>
      <w:r w:rsidR="00393233">
        <w:rPr>
          <w:rFonts w:ascii="Calibri" w:hAnsi="Calibri" w:cs="Calibri"/>
          <w:color w:val="000000"/>
          <w:sz w:val="22"/>
          <w:szCs w:val="22"/>
        </w:rPr>
        <w:t xml:space="preserve">JWOD Act is not applicable to this requirement. </w:t>
      </w:r>
      <w:r w:rsidR="00D72ECA">
        <w:rPr>
          <w:rFonts w:ascii="Calibri" w:hAnsi="Calibri" w:cs="Calibri"/>
          <w:color w:val="000000"/>
          <w:sz w:val="22"/>
          <w:szCs w:val="22"/>
        </w:rPr>
        <w:t xml:space="preserve">Manufacturing capacity of nitrile gloves </w:t>
      </w:r>
      <w:r w:rsidR="004526B9">
        <w:rPr>
          <w:rFonts w:ascii="Calibri" w:hAnsi="Calibri" w:cs="Calibri"/>
          <w:color w:val="000000"/>
          <w:sz w:val="22"/>
          <w:szCs w:val="22"/>
        </w:rPr>
        <w:t>is</w:t>
      </w:r>
      <w:r w:rsidR="00D72ECA">
        <w:rPr>
          <w:rFonts w:ascii="Calibri" w:hAnsi="Calibri" w:cs="Calibri"/>
          <w:color w:val="000000"/>
          <w:sz w:val="22"/>
          <w:szCs w:val="22"/>
        </w:rPr>
        <w:t xml:space="preserve"> being procured</w:t>
      </w:r>
      <w:r w:rsidR="004526B9">
        <w:rPr>
          <w:rFonts w:ascii="Calibri" w:hAnsi="Calibri" w:cs="Calibri"/>
          <w:color w:val="000000"/>
          <w:sz w:val="22"/>
          <w:szCs w:val="22"/>
        </w:rPr>
        <w:t xml:space="preserve"> not nitrile gloves. </w:t>
      </w:r>
    </w:p>
    <w:p w14:paraId="1A732252" w14:textId="77777777" w:rsidR="005F139E" w:rsidRDefault="00FE120D">
      <w:pPr>
        <w:pStyle w:val="q-text"/>
        <w:spacing w:before="60" w:beforeAutospacing="0"/>
        <w:divId w:val="172572040"/>
        <w:rPr>
          <w:rFonts w:ascii="Calibri" w:hAnsi="Calibri" w:cs="Calibri"/>
          <w:color w:val="000000"/>
          <w:sz w:val="22"/>
          <w:szCs w:val="22"/>
        </w:rPr>
      </w:pPr>
      <w:r>
        <w:rPr>
          <w:rStyle w:val="q-num1"/>
          <w:rFonts w:ascii="Calibri" w:hAnsi="Calibri" w:cs="Calibri"/>
          <w:b/>
          <w:bCs/>
          <w:sz w:val="22"/>
          <w:szCs w:val="22"/>
        </w:rPr>
        <w:t>[68]</w:t>
      </w:r>
      <w:r>
        <w:rPr>
          <w:rFonts w:ascii="Calibri" w:hAnsi="Calibri" w:cs="Calibri"/>
          <w:color w:val="000000"/>
          <w:sz w:val="22"/>
          <w:szCs w:val="22"/>
        </w:rPr>
        <w:t xml:space="preserve"> Since the gloves are the same or Essentially the Same as those on the AbilityOne Procurement List, why isn't BARDA purchasing through AbilityOne?</w:t>
      </w:r>
    </w:p>
    <w:p w14:paraId="4DF876E2" w14:textId="1CBFC266" w:rsidR="005F139E" w:rsidRPr="0055455A" w:rsidRDefault="002E7AC9" w:rsidP="00DE5C8C">
      <w:pPr>
        <w:pStyle w:val="a-text"/>
        <w:spacing w:after="60" w:afterAutospacing="0"/>
        <w:divId w:val="172572040"/>
        <w:rPr>
          <w:rFonts w:ascii="Calibri" w:hAnsi="Calibri" w:cs="Calibri"/>
          <w:strike/>
          <w:color w:val="000000"/>
          <w:sz w:val="22"/>
          <w:szCs w:val="22"/>
        </w:rPr>
      </w:pPr>
      <w:r>
        <w:rPr>
          <w:rFonts w:ascii="Calibri" w:hAnsi="Calibri" w:cs="Calibri"/>
          <w:color w:val="000000"/>
          <w:sz w:val="22"/>
          <w:szCs w:val="22"/>
        </w:rPr>
        <w:t xml:space="preserve">Manufacturing capacity of nitrile gloves is not available </w:t>
      </w:r>
      <w:r w:rsidR="00CF3843">
        <w:rPr>
          <w:rFonts w:ascii="Calibri" w:hAnsi="Calibri" w:cs="Calibri"/>
          <w:color w:val="000000"/>
          <w:sz w:val="22"/>
          <w:szCs w:val="22"/>
        </w:rPr>
        <w:t>on the AbilityOne Procurement List.</w:t>
      </w:r>
    </w:p>
    <w:p w14:paraId="4FF5A6CC" w14:textId="77777777" w:rsidR="005F139E" w:rsidRDefault="00FE120D">
      <w:pPr>
        <w:pStyle w:val="q-text"/>
        <w:spacing w:before="60" w:beforeAutospacing="0"/>
        <w:divId w:val="688412127"/>
        <w:rPr>
          <w:rFonts w:ascii="Calibri" w:hAnsi="Calibri" w:cs="Calibri"/>
          <w:color w:val="000000"/>
          <w:sz w:val="22"/>
          <w:szCs w:val="22"/>
        </w:rPr>
      </w:pPr>
      <w:r>
        <w:rPr>
          <w:rStyle w:val="q-num1"/>
          <w:rFonts w:ascii="Calibri" w:hAnsi="Calibri" w:cs="Calibri"/>
          <w:b/>
          <w:bCs/>
          <w:sz w:val="22"/>
          <w:szCs w:val="22"/>
        </w:rPr>
        <w:t>[96]</w:t>
      </w:r>
      <w:r>
        <w:rPr>
          <w:rFonts w:ascii="Calibri" w:hAnsi="Calibri" w:cs="Calibri"/>
          <w:color w:val="000000"/>
          <w:sz w:val="22"/>
          <w:szCs w:val="22"/>
        </w:rPr>
        <w:t xml:space="preserve"> Will the Government support created capacity through procurement, IDIQ vehicles, strategic stockpile purchases, or other mechanisms? May anticipated Government demand be relied upon in the Commercial Viability Plan?</w:t>
      </w:r>
    </w:p>
    <w:p w14:paraId="1E0CD320" w14:textId="7B34821D" w:rsidR="005F139E" w:rsidRPr="0055455A" w:rsidRDefault="00CF3843" w:rsidP="00DE5C8C">
      <w:pPr>
        <w:pStyle w:val="a-text"/>
        <w:spacing w:after="60" w:afterAutospacing="0"/>
        <w:divId w:val="688412127"/>
        <w:rPr>
          <w:rFonts w:ascii="Calibri" w:hAnsi="Calibri" w:cs="Calibri"/>
          <w:strike/>
          <w:color w:val="000000"/>
          <w:sz w:val="22"/>
          <w:szCs w:val="22"/>
        </w:rPr>
      </w:pPr>
      <w:r>
        <w:rPr>
          <w:rFonts w:ascii="Calibri" w:hAnsi="Calibri" w:cs="Calibri"/>
          <w:color w:val="000000"/>
          <w:sz w:val="22"/>
          <w:szCs w:val="22"/>
        </w:rPr>
        <w:t xml:space="preserve">The Government will not provide purchase commitments </w:t>
      </w:r>
      <w:r w:rsidR="008161B0">
        <w:rPr>
          <w:rFonts w:ascii="Calibri" w:hAnsi="Calibri" w:cs="Calibri"/>
          <w:color w:val="000000"/>
          <w:sz w:val="22"/>
          <w:szCs w:val="22"/>
        </w:rPr>
        <w:t>for nitrile gloves</w:t>
      </w:r>
      <w:r>
        <w:rPr>
          <w:rFonts w:ascii="Calibri" w:hAnsi="Calibri" w:cs="Calibri"/>
          <w:color w:val="000000"/>
          <w:sz w:val="22"/>
          <w:szCs w:val="22"/>
        </w:rPr>
        <w:t xml:space="preserve"> or direct federal </w:t>
      </w:r>
      <w:r w:rsidR="00A36CF6">
        <w:rPr>
          <w:rFonts w:ascii="Calibri" w:hAnsi="Calibri" w:cs="Calibri"/>
          <w:color w:val="000000"/>
          <w:sz w:val="22"/>
          <w:szCs w:val="22"/>
        </w:rPr>
        <w:t xml:space="preserve">nitrile </w:t>
      </w:r>
      <w:r>
        <w:rPr>
          <w:rFonts w:ascii="Calibri" w:hAnsi="Calibri" w:cs="Calibri"/>
          <w:color w:val="000000"/>
          <w:sz w:val="22"/>
          <w:szCs w:val="22"/>
        </w:rPr>
        <w:t>glove purchases toward award recipients.</w:t>
      </w:r>
    </w:p>
    <w:p w14:paraId="6D0C457E" w14:textId="77777777" w:rsidR="005F139E" w:rsidRDefault="00FE120D">
      <w:pPr>
        <w:pStyle w:val="q-text"/>
        <w:spacing w:before="60" w:beforeAutospacing="0"/>
        <w:divId w:val="1572236250"/>
        <w:rPr>
          <w:rFonts w:ascii="Calibri" w:hAnsi="Calibri" w:cs="Calibri"/>
          <w:color w:val="000000"/>
          <w:sz w:val="22"/>
          <w:szCs w:val="22"/>
        </w:rPr>
      </w:pPr>
      <w:r>
        <w:rPr>
          <w:rStyle w:val="q-num1"/>
          <w:rFonts w:ascii="Calibri" w:hAnsi="Calibri" w:cs="Calibri"/>
          <w:b/>
          <w:bCs/>
          <w:sz w:val="22"/>
          <w:szCs w:val="22"/>
        </w:rPr>
        <w:t>[116]</w:t>
      </w:r>
      <w:r>
        <w:rPr>
          <w:rFonts w:ascii="Calibri" w:hAnsi="Calibri" w:cs="Calibri"/>
          <w:color w:val="000000"/>
          <w:sz w:val="22"/>
          <w:szCs w:val="22"/>
        </w:rPr>
        <w:t xml:space="preserve"> Request for federal glove purchase volume by agency/thickness; identity and margins of intermediaries (distributors, GPOs, prime vendors); barriers to multi-year/10-year purchase commitments.</w:t>
      </w:r>
    </w:p>
    <w:p w14:paraId="0AD2EEEF" w14:textId="7F8C9308" w:rsidR="005F139E" w:rsidRPr="0055455A" w:rsidRDefault="00E366AD">
      <w:pPr>
        <w:pStyle w:val="a-text"/>
        <w:spacing w:after="60" w:afterAutospacing="0"/>
        <w:divId w:val="1572236250"/>
        <w:rPr>
          <w:rFonts w:ascii="Calibri" w:hAnsi="Calibri" w:cs="Calibri"/>
          <w:strike/>
          <w:color w:val="000000"/>
          <w:sz w:val="22"/>
          <w:szCs w:val="22"/>
        </w:rPr>
      </w:pPr>
      <w:r>
        <w:rPr>
          <w:rFonts w:ascii="Calibri" w:hAnsi="Calibri" w:cs="Calibri"/>
          <w:color w:val="000000"/>
          <w:sz w:val="22"/>
          <w:szCs w:val="22"/>
        </w:rPr>
        <w:t>Respondent</w:t>
      </w:r>
      <w:r w:rsidR="0020173F" w:rsidRPr="0020173F">
        <w:rPr>
          <w:rFonts w:ascii="Calibri" w:hAnsi="Calibri" w:cs="Calibri"/>
          <w:color w:val="000000"/>
          <w:sz w:val="22"/>
          <w:szCs w:val="22"/>
        </w:rPr>
        <w:t>s must perform their own market research</w:t>
      </w:r>
      <w:r w:rsidR="0020173F">
        <w:rPr>
          <w:rFonts w:ascii="Calibri" w:hAnsi="Calibri" w:cs="Calibri"/>
          <w:color w:val="000000"/>
          <w:sz w:val="22"/>
          <w:szCs w:val="22"/>
        </w:rPr>
        <w:t xml:space="preserve">. </w:t>
      </w:r>
    </w:p>
    <w:p w14:paraId="5924F98D" w14:textId="77777777" w:rsidR="005F139E" w:rsidRDefault="00FE120D">
      <w:pPr>
        <w:pStyle w:val="q-text"/>
        <w:spacing w:before="60" w:beforeAutospacing="0"/>
        <w:divId w:val="908342727"/>
        <w:rPr>
          <w:rFonts w:ascii="Calibri" w:hAnsi="Calibri" w:cs="Calibri"/>
          <w:color w:val="000000"/>
          <w:sz w:val="22"/>
          <w:szCs w:val="22"/>
        </w:rPr>
      </w:pPr>
      <w:r>
        <w:rPr>
          <w:rStyle w:val="q-num1"/>
          <w:rFonts w:ascii="Calibri" w:hAnsi="Calibri" w:cs="Calibri"/>
          <w:b/>
          <w:bCs/>
          <w:sz w:val="22"/>
          <w:szCs w:val="22"/>
        </w:rPr>
        <w:t>[139]</w:t>
      </w:r>
      <w:r>
        <w:rPr>
          <w:rFonts w:ascii="Calibri" w:hAnsi="Calibri" w:cs="Calibri"/>
          <w:color w:val="000000"/>
          <w:sz w:val="22"/>
          <w:szCs w:val="22"/>
        </w:rPr>
        <w:t xml:space="preserve"> Is there a clause requiring domestic NBR purchase in the rumored ~1.3B glove consolidated federal purchase contract expected within 30-60 days?</w:t>
      </w:r>
    </w:p>
    <w:p w14:paraId="7A866EEF" w14:textId="50A8D2CA" w:rsidR="005F139E" w:rsidRDefault="00FE120D">
      <w:pPr>
        <w:pStyle w:val="a-text"/>
        <w:spacing w:after="60" w:afterAutospacing="0"/>
        <w:divId w:val="908342727"/>
        <w:rPr>
          <w:rFonts w:ascii="Calibri" w:hAnsi="Calibri" w:cs="Calibri"/>
          <w:color w:val="000000"/>
          <w:sz w:val="22"/>
          <w:szCs w:val="22"/>
        </w:rPr>
      </w:pPr>
      <w:r>
        <w:rPr>
          <w:rFonts w:ascii="Calibri" w:hAnsi="Calibri" w:cs="Calibri"/>
          <w:color w:val="000000"/>
          <w:sz w:val="22"/>
          <w:szCs w:val="22"/>
        </w:rPr>
        <w:t>The Government declines to confirm, deny, or detail the internal clauses of separate, unreleased procurement vehicles.</w:t>
      </w:r>
      <w:r w:rsidR="00EE5FDC">
        <w:rPr>
          <w:rFonts w:ascii="Calibri" w:hAnsi="Calibri" w:cs="Calibri"/>
          <w:color w:val="000000"/>
          <w:sz w:val="22"/>
          <w:szCs w:val="22"/>
        </w:rPr>
        <w:t xml:space="preserve"> </w:t>
      </w:r>
    </w:p>
    <w:p w14:paraId="125AC96D" w14:textId="6F3E5905" w:rsidR="005F139E" w:rsidRDefault="00FE120D">
      <w:pPr>
        <w:pStyle w:val="q-text"/>
        <w:spacing w:before="60" w:beforeAutospacing="0"/>
        <w:divId w:val="854348291"/>
        <w:rPr>
          <w:rFonts w:ascii="Calibri" w:hAnsi="Calibri" w:cs="Calibri"/>
          <w:color w:val="000000"/>
          <w:sz w:val="22"/>
          <w:szCs w:val="22"/>
        </w:rPr>
      </w:pPr>
      <w:r>
        <w:rPr>
          <w:rStyle w:val="q-num1"/>
          <w:rFonts w:ascii="Calibri" w:hAnsi="Calibri" w:cs="Calibri"/>
          <w:b/>
          <w:bCs/>
          <w:sz w:val="22"/>
          <w:szCs w:val="22"/>
        </w:rPr>
        <w:t>[145]</w:t>
      </w:r>
      <w:r>
        <w:rPr>
          <w:rFonts w:ascii="Calibri" w:hAnsi="Calibri" w:cs="Calibri"/>
          <w:color w:val="000000"/>
          <w:sz w:val="22"/>
          <w:szCs w:val="22"/>
        </w:rPr>
        <w:t xml:space="preserve"> How is a </w:t>
      </w:r>
      <w:r w:rsidR="00E366AD">
        <w:rPr>
          <w:rFonts w:ascii="Calibri" w:hAnsi="Calibri" w:cs="Calibri"/>
          <w:color w:val="000000"/>
          <w:sz w:val="22"/>
          <w:szCs w:val="22"/>
        </w:rPr>
        <w:t>Respondent</w:t>
      </w:r>
      <w:r>
        <w:rPr>
          <w:rFonts w:ascii="Calibri" w:hAnsi="Calibri" w:cs="Calibri"/>
          <w:color w:val="000000"/>
          <w:sz w:val="22"/>
          <w:szCs w:val="22"/>
        </w:rPr>
        <w:t xml:space="preserve"> to model ten years of commercial viability with zero assumed government demand, given the stated 15B glove federal surge-demand deficit and the mandated priority-access obligations? Is any warm-base payment, surge-readiness retainer, standing purchase commitment, IDIQ vehicle, or stockpile rotation program contemplated?</w:t>
      </w:r>
    </w:p>
    <w:p w14:paraId="2E1418BE" w14:textId="4772B30E" w:rsidR="005F139E" w:rsidRPr="001378AA" w:rsidRDefault="00CF17A9" w:rsidP="001378AA">
      <w:pPr>
        <w:pStyle w:val="a-text"/>
        <w:spacing w:after="240" w:afterAutospacing="0"/>
        <w:divId w:val="854348291"/>
        <w:rPr>
          <w:rFonts w:ascii="Calibri" w:hAnsi="Calibri" w:cs="Calibri"/>
          <w:color w:val="000000"/>
          <w:sz w:val="22"/>
          <w:szCs w:val="22"/>
        </w:rPr>
      </w:pPr>
      <w:r>
        <w:rPr>
          <w:rFonts w:ascii="Calibri" w:hAnsi="Calibri" w:cs="Calibri"/>
          <w:color w:val="000000"/>
          <w:sz w:val="22"/>
          <w:szCs w:val="22"/>
        </w:rPr>
        <w:t>Respondents</w:t>
      </w:r>
      <w:r w:rsidR="008F475C" w:rsidRPr="0020173F">
        <w:rPr>
          <w:rFonts w:ascii="Calibri" w:hAnsi="Calibri" w:cs="Calibri"/>
          <w:color w:val="000000"/>
          <w:sz w:val="22"/>
          <w:szCs w:val="22"/>
        </w:rPr>
        <w:t xml:space="preserve"> must perform their own market research</w:t>
      </w:r>
      <w:r w:rsidR="00FE120D">
        <w:rPr>
          <w:rFonts w:ascii="Calibri" w:hAnsi="Calibri" w:cs="Calibri"/>
          <w:color w:val="000000"/>
          <w:sz w:val="22"/>
          <w:szCs w:val="22"/>
        </w:rPr>
        <w:t xml:space="preserve"> </w:t>
      </w:r>
      <w:r w:rsidR="00A87334">
        <w:rPr>
          <w:rFonts w:ascii="Calibri" w:hAnsi="Calibri" w:cs="Calibri"/>
          <w:color w:val="000000"/>
          <w:sz w:val="22"/>
          <w:szCs w:val="22"/>
        </w:rPr>
        <w:t xml:space="preserve">and </w:t>
      </w:r>
      <w:r w:rsidR="00D30AEE">
        <w:rPr>
          <w:rFonts w:ascii="Calibri" w:hAnsi="Calibri" w:cs="Calibri"/>
          <w:color w:val="000000"/>
          <w:sz w:val="22"/>
          <w:szCs w:val="22"/>
        </w:rPr>
        <w:t xml:space="preserve">include a Commercial </w:t>
      </w:r>
      <w:r w:rsidR="00473457">
        <w:rPr>
          <w:rFonts w:ascii="Calibri" w:hAnsi="Calibri" w:cs="Calibri"/>
          <w:color w:val="000000"/>
          <w:sz w:val="22"/>
          <w:szCs w:val="22"/>
        </w:rPr>
        <w:t xml:space="preserve">Viability Plan </w:t>
      </w:r>
      <w:r w:rsidR="00E41C1D">
        <w:rPr>
          <w:rFonts w:ascii="Calibri" w:hAnsi="Calibri" w:cs="Calibri"/>
          <w:color w:val="000000"/>
          <w:sz w:val="22"/>
          <w:szCs w:val="22"/>
        </w:rPr>
        <w:t>in accordance with Section 4</w:t>
      </w:r>
      <w:r w:rsidR="008857BC">
        <w:rPr>
          <w:rFonts w:ascii="Calibri" w:hAnsi="Calibri" w:cs="Calibri"/>
          <w:color w:val="000000"/>
          <w:sz w:val="22"/>
          <w:szCs w:val="22"/>
        </w:rPr>
        <w:t xml:space="preserve"> of RPP Attachment A</w:t>
      </w:r>
      <w:r w:rsidR="00FC1982">
        <w:rPr>
          <w:rFonts w:ascii="Calibri" w:hAnsi="Calibri" w:cs="Calibri"/>
          <w:color w:val="000000"/>
          <w:sz w:val="22"/>
          <w:szCs w:val="22"/>
        </w:rPr>
        <w:t xml:space="preserve"> </w:t>
      </w:r>
      <w:r w:rsidR="008857BC">
        <w:rPr>
          <w:rFonts w:ascii="Calibri" w:hAnsi="Calibri" w:cs="Calibri"/>
          <w:color w:val="000000"/>
          <w:sz w:val="22"/>
          <w:szCs w:val="22"/>
        </w:rPr>
        <w:t>(</w:t>
      </w:r>
      <w:r w:rsidR="00FC1982">
        <w:rPr>
          <w:rFonts w:ascii="Calibri" w:hAnsi="Calibri" w:cs="Calibri"/>
          <w:color w:val="000000"/>
          <w:sz w:val="22"/>
          <w:szCs w:val="22"/>
        </w:rPr>
        <w:t>Deliverables</w:t>
      </w:r>
      <w:r w:rsidR="008857BC">
        <w:rPr>
          <w:rFonts w:ascii="Calibri" w:hAnsi="Calibri" w:cs="Calibri"/>
          <w:color w:val="000000"/>
          <w:sz w:val="22"/>
          <w:szCs w:val="22"/>
        </w:rPr>
        <w:t>)</w:t>
      </w:r>
      <w:r w:rsidR="00FC1982">
        <w:rPr>
          <w:rFonts w:ascii="Calibri" w:hAnsi="Calibri" w:cs="Calibri"/>
          <w:color w:val="000000"/>
          <w:sz w:val="22"/>
          <w:szCs w:val="22"/>
        </w:rPr>
        <w:t>.</w:t>
      </w:r>
      <w:r w:rsidR="00FB7682">
        <w:rPr>
          <w:rFonts w:ascii="Calibri" w:hAnsi="Calibri" w:cs="Calibri"/>
          <w:color w:val="000000"/>
          <w:sz w:val="22"/>
          <w:szCs w:val="22"/>
        </w:rPr>
        <w:t xml:space="preserve"> </w:t>
      </w:r>
      <w:r w:rsidR="00FE120D">
        <w:rPr>
          <w:rFonts w:ascii="Calibri" w:hAnsi="Calibri" w:cs="Calibri"/>
          <w:color w:val="000000"/>
          <w:sz w:val="22"/>
          <w:szCs w:val="22"/>
        </w:rPr>
        <w:t>The</w:t>
      </w:r>
      <w:r w:rsidR="0088258F">
        <w:rPr>
          <w:rFonts w:ascii="Calibri" w:hAnsi="Calibri" w:cs="Calibri"/>
          <w:color w:val="000000"/>
          <w:sz w:val="22"/>
          <w:szCs w:val="22"/>
        </w:rPr>
        <w:t>re are</w:t>
      </w:r>
      <w:r w:rsidR="00FE120D">
        <w:rPr>
          <w:rFonts w:ascii="Calibri" w:hAnsi="Calibri" w:cs="Calibri"/>
          <w:color w:val="000000"/>
          <w:sz w:val="22"/>
          <w:szCs w:val="22"/>
        </w:rPr>
        <w:t xml:space="preserve"> no warm-</w:t>
      </w:r>
      <w:r w:rsidR="004C7665">
        <w:rPr>
          <w:rFonts w:ascii="Calibri" w:hAnsi="Calibri" w:cs="Calibri"/>
          <w:color w:val="000000"/>
          <w:sz w:val="22"/>
          <w:szCs w:val="22"/>
        </w:rPr>
        <w:t>based</w:t>
      </w:r>
      <w:r w:rsidR="00FE120D">
        <w:rPr>
          <w:rFonts w:ascii="Calibri" w:hAnsi="Calibri" w:cs="Calibri"/>
          <w:color w:val="000000"/>
          <w:sz w:val="22"/>
          <w:szCs w:val="22"/>
        </w:rPr>
        <w:t xml:space="preserve"> payments, surge retainers, standing federal purchase commitments, or guaranteed stockpile rotation programs contemplated under this project.</w:t>
      </w:r>
    </w:p>
    <w:p w14:paraId="5406071D" w14:textId="77777777" w:rsidR="005F139E" w:rsidRDefault="00FE120D">
      <w:pPr>
        <w:pStyle w:val="Heading2"/>
        <w:rPr>
          <w:rFonts w:ascii="Calibri" w:eastAsia="Times New Roman" w:hAnsi="Calibri" w:cs="Calibri"/>
        </w:rPr>
      </w:pPr>
      <w:r>
        <w:rPr>
          <w:rFonts w:ascii="Calibri" w:eastAsia="Times New Roman" w:hAnsi="Calibri" w:cs="Calibri"/>
        </w:rPr>
        <w:t>4. 10-Year Sustainment / Post-Performance Obligations</w:t>
      </w:r>
    </w:p>
    <w:p w14:paraId="064BD86D" w14:textId="77777777" w:rsidR="005F139E" w:rsidRDefault="00FE120D">
      <w:pPr>
        <w:pStyle w:val="q-text"/>
        <w:spacing w:before="60" w:beforeAutospacing="0"/>
        <w:divId w:val="1637375672"/>
        <w:rPr>
          <w:rFonts w:ascii="Calibri" w:hAnsi="Calibri" w:cs="Calibri"/>
          <w:color w:val="000000"/>
          <w:sz w:val="22"/>
          <w:szCs w:val="22"/>
        </w:rPr>
      </w:pPr>
      <w:r>
        <w:rPr>
          <w:rStyle w:val="q-num1"/>
          <w:rFonts w:ascii="Calibri" w:hAnsi="Calibri" w:cs="Calibri"/>
          <w:b/>
          <w:bCs/>
          <w:sz w:val="22"/>
          <w:szCs w:val="22"/>
        </w:rPr>
        <w:t>[11]</w:t>
      </w:r>
      <w:r>
        <w:rPr>
          <w:rFonts w:ascii="Calibri" w:hAnsi="Calibri" w:cs="Calibri"/>
          <w:color w:val="000000"/>
          <w:sz w:val="22"/>
          <w:szCs w:val="22"/>
        </w:rPr>
        <w:t xml:space="preserve"> Does the Government anticipate maintaining domestic sourcing policies or other measures over the 10-year sustainment period?</w:t>
      </w:r>
    </w:p>
    <w:p w14:paraId="26BA8EDD" w14:textId="3EECE1B4" w:rsidR="005F139E" w:rsidRPr="0055455A" w:rsidRDefault="006E0D34" w:rsidP="00DE5C8C">
      <w:pPr>
        <w:pStyle w:val="a-text"/>
        <w:spacing w:after="60" w:afterAutospacing="0"/>
        <w:divId w:val="1637375672"/>
        <w:rPr>
          <w:rFonts w:ascii="Calibri" w:hAnsi="Calibri" w:cs="Calibri"/>
          <w:strike/>
          <w:color w:val="000000"/>
          <w:sz w:val="22"/>
          <w:szCs w:val="22"/>
        </w:rPr>
      </w:pPr>
      <w:r>
        <w:rPr>
          <w:rFonts w:ascii="Calibri" w:hAnsi="Calibri" w:cs="Calibri"/>
          <w:color w:val="000000"/>
          <w:sz w:val="22"/>
          <w:szCs w:val="22"/>
        </w:rPr>
        <w:t>Yes</w:t>
      </w:r>
      <w:r w:rsidR="00681329">
        <w:rPr>
          <w:rFonts w:ascii="Calibri" w:hAnsi="Calibri" w:cs="Calibri"/>
          <w:color w:val="000000"/>
          <w:sz w:val="22"/>
          <w:szCs w:val="22"/>
        </w:rPr>
        <w:t xml:space="preserve">, </w:t>
      </w:r>
      <w:r w:rsidR="00B66309">
        <w:rPr>
          <w:rFonts w:ascii="Calibri" w:hAnsi="Calibri" w:cs="Calibri"/>
          <w:color w:val="000000"/>
          <w:sz w:val="22"/>
          <w:szCs w:val="22"/>
        </w:rPr>
        <w:t>award recipients should comply with domestic</w:t>
      </w:r>
      <w:r w:rsidR="0032338C">
        <w:rPr>
          <w:rFonts w:ascii="Calibri" w:hAnsi="Calibri" w:cs="Calibri"/>
          <w:color w:val="000000"/>
          <w:sz w:val="22"/>
          <w:szCs w:val="22"/>
        </w:rPr>
        <w:t xml:space="preserve"> sourcing policies </w:t>
      </w:r>
      <w:r w:rsidR="006D54D1">
        <w:rPr>
          <w:rFonts w:ascii="Calibri" w:hAnsi="Calibri" w:cs="Calibri"/>
          <w:color w:val="000000"/>
          <w:sz w:val="22"/>
          <w:szCs w:val="22"/>
        </w:rPr>
        <w:t>to the maximum extent practicable</w:t>
      </w:r>
      <w:r w:rsidR="0032338C">
        <w:rPr>
          <w:rFonts w:ascii="Calibri" w:hAnsi="Calibri" w:cs="Calibri"/>
          <w:color w:val="000000"/>
          <w:sz w:val="22"/>
          <w:szCs w:val="22"/>
        </w:rPr>
        <w:t xml:space="preserve"> for the entirety of the 10-</w:t>
      </w:r>
      <w:r w:rsidR="0033039E">
        <w:rPr>
          <w:rFonts w:ascii="Calibri" w:hAnsi="Calibri" w:cs="Calibri"/>
          <w:color w:val="000000"/>
          <w:sz w:val="22"/>
          <w:szCs w:val="22"/>
        </w:rPr>
        <w:t xml:space="preserve">year </w:t>
      </w:r>
      <w:r w:rsidR="006D54D1">
        <w:rPr>
          <w:rFonts w:ascii="Calibri" w:hAnsi="Calibri" w:cs="Calibri"/>
          <w:color w:val="000000"/>
          <w:sz w:val="22"/>
          <w:szCs w:val="22"/>
        </w:rPr>
        <w:t>sustainment period.</w:t>
      </w:r>
    </w:p>
    <w:p w14:paraId="5E076FC7" w14:textId="77777777" w:rsidR="005F139E" w:rsidRDefault="00FE120D">
      <w:pPr>
        <w:pStyle w:val="q-text"/>
        <w:spacing w:before="60" w:beforeAutospacing="0"/>
        <w:divId w:val="1551962365"/>
        <w:rPr>
          <w:rFonts w:ascii="Calibri" w:hAnsi="Calibri" w:cs="Calibri"/>
          <w:color w:val="000000"/>
          <w:sz w:val="22"/>
          <w:szCs w:val="22"/>
        </w:rPr>
      </w:pPr>
      <w:r>
        <w:rPr>
          <w:rStyle w:val="q-num1"/>
          <w:rFonts w:ascii="Calibri" w:hAnsi="Calibri" w:cs="Calibri"/>
          <w:b/>
          <w:bCs/>
          <w:sz w:val="22"/>
          <w:szCs w:val="22"/>
        </w:rPr>
        <w:lastRenderedPageBreak/>
        <w:t>[28 / 32]</w:t>
      </w:r>
      <w:r>
        <w:rPr>
          <w:rFonts w:ascii="Calibri" w:hAnsi="Calibri" w:cs="Calibri"/>
          <w:color w:val="000000"/>
          <w:sz w:val="22"/>
          <w:szCs w:val="22"/>
        </w:rPr>
        <w:t xml:space="preserve"> Would BARDA consider structuring the Project Agreement with a 10-year period of performance (with production milestones within the first 24 months), rather than a 2-year POP with a separate 10-year obligation tacked on? Or will there be a 2nd OTA for 10-year maintenance/sustainment?</w:t>
      </w:r>
    </w:p>
    <w:p w14:paraId="5E5807AC" w14:textId="16F22A6B" w:rsidR="005F139E" w:rsidRPr="0055455A" w:rsidRDefault="00FE120D" w:rsidP="00F241BD">
      <w:pPr>
        <w:pStyle w:val="a-text"/>
        <w:spacing w:after="60"/>
        <w:divId w:val="1551962365"/>
        <w:rPr>
          <w:rFonts w:ascii="Calibri" w:hAnsi="Calibri" w:cs="Calibri"/>
          <w:strike/>
          <w:color w:val="000000"/>
          <w:sz w:val="22"/>
          <w:szCs w:val="22"/>
        </w:rPr>
      </w:pPr>
      <w:r>
        <w:rPr>
          <w:rFonts w:ascii="Calibri" w:hAnsi="Calibri" w:cs="Calibri"/>
          <w:color w:val="000000"/>
          <w:sz w:val="22"/>
          <w:szCs w:val="22"/>
        </w:rPr>
        <w:t>The</w:t>
      </w:r>
      <w:r w:rsidR="00DE5C8C">
        <w:rPr>
          <w:rFonts w:ascii="Calibri" w:hAnsi="Calibri" w:cs="Calibri"/>
          <w:color w:val="000000"/>
          <w:sz w:val="22"/>
          <w:szCs w:val="22"/>
        </w:rPr>
        <w:t xml:space="preserve"> </w:t>
      </w:r>
      <w:r w:rsidR="00EA1DF9">
        <w:rPr>
          <w:rFonts w:ascii="Calibri" w:hAnsi="Calibri" w:cs="Calibri"/>
          <w:color w:val="000000"/>
          <w:sz w:val="22"/>
          <w:szCs w:val="22"/>
        </w:rPr>
        <w:t>p</w:t>
      </w:r>
      <w:r>
        <w:rPr>
          <w:rFonts w:ascii="Calibri" w:hAnsi="Calibri" w:cs="Calibri"/>
          <w:color w:val="000000"/>
          <w:sz w:val="22"/>
          <w:szCs w:val="22"/>
        </w:rPr>
        <w:t xml:space="preserve">eriod of </w:t>
      </w:r>
      <w:r w:rsidR="00EA1DF9">
        <w:rPr>
          <w:rFonts w:ascii="Calibri" w:hAnsi="Calibri" w:cs="Calibri"/>
          <w:color w:val="000000"/>
          <w:sz w:val="22"/>
          <w:szCs w:val="22"/>
        </w:rPr>
        <w:t>p</w:t>
      </w:r>
      <w:r>
        <w:rPr>
          <w:rFonts w:ascii="Calibri" w:hAnsi="Calibri" w:cs="Calibri"/>
          <w:color w:val="000000"/>
          <w:sz w:val="22"/>
          <w:szCs w:val="22"/>
        </w:rPr>
        <w:t xml:space="preserve">erformance </w:t>
      </w:r>
      <w:r w:rsidR="00EA1DF9">
        <w:rPr>
          <w:rFonts w:ascii="Calibri" w:hAnsi="Calibri" w:cs="Calibri"/>
          <w:color w:val="000000"/>
          <w:sz w:val="22"/>
          <w:szCs w:val="22"/>
        </w:rPr>
        <w:t xml:space="preserve">must </w:t>
      </w:r>
      <w:r>
        <w:rPr>
          <w:rFonts w:ascii="Calibri" w:hAnsi="Calibri" w:cs="Calibri"/>
          <w:color w:val="000000"/>
          <w:sz w:val="22"/>
          <w:szCs w:val="22"/>
        </w:rPr>
        <w:t xml:space="preserve">not exceed 24 months. </w:t>
      </w:r>
      <w:r w:rsidR="00634C7E" w:rsidRPr="00634C7E">
        <w:rPr>
          <w:rFonts w:ascii="Calibri" w:hAnsi="Calibri" w:cs="Calibri"/>
          <w:color w:val="000000"/>
          <w:sz w:val="22"/>
          <w:szCs w:val="22"/>
        </w:rPr>
        <w:t xml:space="preserve">ATI will not consider a Project Agreement with a 10-year period of performance, and the Government does not anticipate issuing a second OTA for maintenance or sustainment. The Project Agreement will </w:t>
      </w:r>
      <w:proofErr w:type="gramStart"/>
      <w:r w:rsidR="00634C7E" w:rsidRPr="00634C7E">
        <w:rPr>
          <w:rFonts w:ascii="Calibri" w:hAnsi="Calibri" w:cs="Calibri"/>
          <w:color w:val="000000"/>
          <w:sz w:val="22"/>
          <w:szCs w:val="22"/>
        </w:rPr>
        <w:t>provide</w:t>
      </w:r>
      <w:proofErr w:type="gramEnd"/>
      <w:r w:rsidR="00634C7E" w:rsidRPr="00634C7E">
        <w:rPr>
          <w:rFonts w:ascii="Calibri" w:hAnsi="Calibri" w:cs="Calibri"/>
          <w:color w:val="000000"/>
          <w:sz w:val="22"/>
          <w:szCs w:val="22"/>
        </w:rPr>
        <w:t xml:space="preserve"> up to 24 months for capacity expansion, followed by 10 years of post-contractual obligations. These obligations include sustainment of the validated capacity, applicable corporate governance commitments, and Government priority access. Respondents unable to meet these requirements are not eligible for award.</w:t>
      </w:r>
      <w:r>
        <w:rPr>
          <w:rFonts w:ascii="Calibri" w:hAnsi="Calibri" w:cs="Calibri"/>
          <w:color w:val="000000"/>
          <w:sz w:val="22"/>
          <w:szCs w:val="22"/>
        </w:rPr>
        <w:t xml:space="preserve"> </w:t>
      </w:r>
    </w:p>
    <w:p w14:paraId="722B3E47" w14:textId="77777777" w:rsidR="005F139E" w:rsidRDefault="00FE120D">
      <w:pPr>
        <w:pStyle w:val="q-text"/>
        <w:spacing w:before="60" w:beforeAutospacing="0"/>
        <w:divId w:val="946814355"/>
        <w:rPr>
          <w:rFonts w:ascii="Calibri" w:hAnsi="Calibri" w:cs="Calibri"/>
          <w:color w:val="000000"/>
          <w:sz w:val="22"/>
          <w:szCs w:val="22"/>
        </w:rPr>
      </w:pPr>
      <w:r>
        <w:rPr>
          <w:rStyle w:val="q-num1"/>
          <w:rFonts w:ascii="Calibri" w:hAnsi="Calibri" w:cs="Calibri"/>
          <w:b/>
          <w:bCs/>
          <w:sz w:val="22"/>
          <w:szCs w:val="22"/>
        </w:rPr>
        <w:t>[31]</w:t>
      </w:r>
      <w:r>
        <w:rPr>
          <w:rFonts w:ascii="Calibri" w:hAnsi="Calibri" w:cs="Calibri"/>
          <w:color w:val="000000"/>
          <w:sz w:val="22"/>
          <w:szCs w:val="22"/>
        </w:rPr>
        <w:t xml:space="preserve"> Can the 10-year post-performance obligation be a standby/surge-access commitment rather than an active production requirement?</w:t>
      </w:r>
    </w:p>
    <w:p w14:paraId="0001201C" w14:textId="0379D6EA" w:rsidR="005F139E" w:rsidRPr="0055455A" w:rsidRDefault="00FE120D" w:rsidP="002135EA">
      <w:pPr>
        <w:pStyle w:val="a-text"/>
        <w:spacing w:after="60" w:afterAutospacing="0"/>
        <w:divId w:val="946814355"/>
        <w:rPr>
          <w:rFonts w:ascii="Calibri" w:hAnsi="Calibri" w:cs="Calibri"/>
          <w:strike/>
          <w:color w:val="000000"/>
          <w:sz w:val="22"/>
          <w:szCs w:val="22"/>
        </w:rPr>
      </w:pPr>
      <w:r>
        <w:rPr>
          <w:rFonts w:ascii="Calibri" w:hAnsi="Calibri" w:cs="Calibri"/>
          <w:color w:val="000000"/>
          <w:sz w:val="22"/>
          <w:szCs w:val="22"/>
        </w:rPr>
        <w:t xml:space="preserve">The 10-year commitment requires the performer to maintain physical facilities, infrastructure, and tooling in a state of operational readiness. </w:t>
      </w:r>
    </w:p>
    <w:p w14:paraId="46397E74" w14:textId="77777777" w:rsidR="005F139E" w:rsidRDefault="00FE120D">
      <w:pPr>
        <w:pStyle w:val="q-text"/>
        <w:spacing w:before="60" w:beforeAutospacing="0"/>
        <w:divId w:val="1023287151"/>
        <w:rPr>
          <w:rFonts w:ascii="Calibri" w:hAnsi="Calibri" w:cs="Calibri"/>
          <w:color w:val="000000"/>
          <w:sz w:val="22"/>
          <w:szCs w:val="22"/>
        </w:rPr>
      </w:pPr>
      <w:r>
        <w:rPr>
          <w:rStyle w:val="q-num1"/>
          <w:rFonts w:ascii="Calibri" w:hAnsi="Calibri" w:cs="Calibri"/>
          <w:b/>
          <w:bCs/>
          <w:sz w:val="22"/>
          <w:szCs w:val="22"/>
        </w:rPr>
        <w:t>[82]</w:t>
      </w:r>
      <w:r>
        <w:rPr>
          <w:rFonts w:ascii="Calibri" w:hAnsi="Calibri" w:cs="Calibri"/>
          <w:color w:val="000000"/>
          <w:sz w:val="22"/>
          <w:szCs w:val="22"/>
        </w:rPr>
        <w:t xml:space="preserve"> Please confirm the ten-year post-performance obligations are </w:t>
      </w:r>
      <w:proofErr w:type="gramStart"/>
      <w:r>
        <w:rPr>
          <w:rFonts w:ascii="Calibri" w:hAnsi="Calibri" w:cs="Calibri"/>
          <w:color w:val="000000"/>
          <w:sz w:val="22"/>
          <w:szCs w:val="22"/>
        </w:rPr>
        <w:t>unfunded, or</w:t>
      </w:r>
      <w:proofErr w:type="gramEnd"/>
      <w:r>
        <w:rPr>
          <w:rFonts w:ascii="Calibri" w:hAnsi="Calibri" w:cs="Calibri"/>
          <w:color w:val="000000"/>
          <w:sz w:val="22"/>
          <w:szCs w:val="22"/>
        </w:rPr>
        <w:t xml:space="preserve"> identify any consideration the Government anticipates providing.</w:t>
      </w:r>
    </w:p>
    <w:p w14:paraId="26B50F65" w14:textId="305F60A6" w:rsidR="005F139E" w:rsidRPr="0055455A" w:rsidRDefault="00FE120D" w:rsidP="002135EA">
      <w:pPr>
        <w:pStyle w:val="a-text"/>
        <w:spacing w:after="60" w:afterAutospacing="0"/>
        <w:divId w:val="1023287151"/>
        <w:rPr>
          <w:rFonts w:ascii="Calibri" w:hAnsi="Calibri" w:cs="Calibri"/>
          <w:strike/>
          <w:color w:val="000000"/>
          <w:sz w:val="22"/>
          <w:szCs w:val="22"/>
        </w:rPr>
      </w:pPr>
      <w:r>
        <w:rPr>
          <w:rFonts w:ascii="Calibri" w:hAnsi="Calibri" w:cs="Calibri"/>
          <w:color w:val="000000"/>
          <w:sz w:val="22"/>
          <w:szCs w:val="22"/>
        </w:rPr>
        <w:t xml:space="preserve">Confirmed. </w:t>
      </w:r>
    </w:p>
    <w:p w14:paraId="0B1C6292" w14:textId="77777777" w:rsidR="005F139E" w:rsidRDefault="00FE120D">
      <w:pPr>
        <w:pStyle w:val="q-text"/>
        <w:spacing w:before="60" w:beforeAutospacing="0"/>
        <w:divId w:val="50007571"/>
        <w:rPr>
          <w:rFonts w:ascii="Calibri" w:hAnsi="Calibri" w:cs="Calibri"/>
          <w:color w:val="000000"/>
          <w:sz w:val="22"/>
          <w:szCs w:val="22"/>
        </w:rPr>
      </w:pPr>
      <w:r>
        <w:rPr>
          <w:rStyle w:val="q-num1"/>
          <w:rFonts w:ascii="Calibri" w:hAnsi="Calibri" w:cs="Calibri"/>
          <w:b/>
          <w:bCs/>
          <w:sz w:val="22"/>
          <w:szCs w:val="22"/>
        </w:rPr>
        <w:t>[126]</w:t>
      </w:r>
      <w:r>
        <w:rPr>
          <w:rFonts w:ascii="Calibri" w:hAnsi="Calibri" w:cs="Calibri"/>
          <w:color w:val="000000"/>
          <w:sz w:val="22"/>
          <w:szCs w:val="22"/>
        </w:rPr>
        <w:t xml:space="preserve"> Does </w:t>
      </w:r>
      <w:r w:rsidRPr="00634C7E">
        <w:rPr>
          <w:rFonts w:ascii="Calibri" w:hAnsi="Calibri" w:cs="Calibri"/>
          <w:color w:val="000000"/>
          <w:sz w:val="22"/>
          <w:szCs w:val="22"/>
        </w:rPr>
        <w:t>"Government-funded capacity"</w:t>
      </w:r>
      <w:r>
        <w:rPr>
          <w:rFonts w:ascii="Calibri" w:hAnsi="Calibri" w:cs="Calibri"/>
          <w:color w:val="000000"/>
          <w:sz w:val="22"/>
          <w:szCs w:val="22"/>
        </w:rPr>
        <w:t xml:space="preserve"> mean total annual capacity, a pro-rata share, or just the 500M minimum? Do the 10-year obligations attach to capacity proposed above 500M? What controls when a single line is funded by both federal and Performer contributions? Does above-minimum capacity get Factor 1 credit, and does it carry the same obligations? What quantity is the 10-year obligation measured against?</w:t>
      </w:r>
    </w:p>
    <w:p w14:paraId="7ACC1453" w14:textId="77777777" w:rsidR="00634C7E" w:rsidRPr="002169EC" w:rsidRDefault="00634C7E" w:rsidP="002169EC">
      <w:pPr>
        <w:pStyle w:val="a-text"/>
        <w:spacing w:after="240" w:afterAutospacing="0"/>
        <w:divId w:val="1990329719"/>
        <w:rPr>
          <w:rFonts w:ascii="Calibri" w:hAnsi="Calibri" w:cs="Calibri"/>
          <w:color w:val="000000"/>
          <w:sz w:val="22"/>
          <w:szCs w:val="22"/>
        </w:rPr>
      </w:pPr>
      <w:r w:rsidRPr="002169EC">
        <w:rPr>
          <w:rFonts w:ascii="Calibri" w:hAnsi="Calibri" w:cs="Calibri"/>
          <w:color w:val="000000"/>
          <w:sz w:val="22"/>
          <w:szCs w:val="22"/>
        </w:rPr>
        <w:t xml:space="preserve">“Government-funded capacity” means the annual production capacity committed to and validated under the Project Agreement, including capacity supported by both Government and Performer contributions. The capacity is not calculated on a pro-rata basis based on the Government’s percentage of project funding. Capacity above </w:t>
      </w:r>
      <w:proofErr w:type="gramStart"/>
      <w:r w:rsidRPr="002169EC">
        <w:rPr>
          <w:rFonts w:ascii="Calibri" w:hAnsi="Calibri" w:cs="Calibri"/>
          <w:color w:val="000000"/>
          <w:sz w:val="22"/>
          <w:szCs w:val="22"/>
        </w:rPr>
        <w:t>the 500</w:t>
      </w:r>
      <w:proofErr w:type="gramEnd"/>
      <w:r w:rsidRPr="002169EC">
        <w:rPr>
          <w:rFonts w:ascii="Calibri" w:hAnsi="Calibri" w:cs="Calibri"/>
          <w:color w:val="000000"/>
          <w:sz w:val="22"/>
          <w:szCs w:val="22"/>
        </w:rPr>
        <w:t>M minimum may receive Factor 1 credit and, if incorporated into the Project Agreement, is subject to the same 10-year post-contractual obligations. For a mixed-funded production line, the capacity committed under the Project Agreement is treated as Project capacity, and the 10-year obligation applies to the validated annual capacity identified in the agreement.</w:t>
      </w:r>
    </w:p>
    <w:p w14:paraId="0B7B191C" w14:textId="77777777" w:rsidR="00634C7E" w:rsidRDefault="00634C7E">
      <w:pPr>
        <w:pStyle w:val="q-text"/>
        <w:spacing w:before="60" w:beforeAutospacing="0"/>
        <w:divId w:val="1990329719"/>
        <w:rPr>
          <w:rStyle w:val="q-num1"/>
          <w:rFonts w:ascii="Calibri" w:hAnsi="Calibri" w:cs="Calibri"/>
          <w:b/>
          <w:bCs/>
          <w:sz w:val="22"/>
          <w:szCs w:val="22"/>
        </w:rPr>
      </w:pPr>
    </w:p>
    <w:p w14:paraId="6661F791" w14:textId="11231F79" w:rsidR="005F139E" w:rsidRDefault="00FE120D">
      <w:pPr>
        <w:pStyle w:val="q-text"/>
        <w:spacing w:before="60" w:beforeAutospacing="0"/>
        <w:divId w:val="1990329719"/>
        <w:rPr>
          <w:rFonts w:ascii="Calibri" w:hAnsi="Calibri" w:cs="Calibri"/>
          <w:color w:val="000000"/>
          <w:sz w:val="22"/>
          <w:szCs w:val="22"/>
        </w:rPr>
      </w:pPr>
      <w:r>
        <w:rPr>
          <w:rStyle w:val="q-num1"/>
          <w:rFonts w:ascii="Calibri" w:hAnsi="Calibri" w:cs="Calibri"/>
          <w:b/>
          <w:bCs/>
          <w:sz w:val="22"/>
          <w:szCs w:val="22"/>
        </w:rPr>
        <w:t>[128]</w:t>
      </w:r>
      <w:r>
        <w:rPr>
          <w:rFonts w:ascii="Calibri" w:hAnsi="Calibri" w:cs="Calibri"/>
          <w:color w:val="000000"/>
          <w:sz w:val="22"/>
          <w:szCs w:val="22"/>
        </w:rPr>
        <w:t xml:space="preserve"> Is the ten-year forecast of required technologies/infrastructure binding, or a planning estimate? May the Performer substitute technologies without Government approval?</w:t>
      </w:r>
    </w:p>
    <w:p w14:paraId="5763762D" w14:textId="1B83F3A9" w:rsidR="005F139E" w:rsidRDefault="006D329B">
      <w:pPr>
        <w:pStyle w:val="a-text"/>
        <w:spacing w:after="60" w:afterAutospacing="0"/>
        <w:divId w:val="1990329719"/>
        <w:rPr>
          <w:rFonts w:ascii="Calibri" w:hAnsi="Calibri" w:cs="Calibri"/>
          <w:color w:val="000000"/>
          <w:sz w:val="22"/>
          <w:szCs w:val="22"/>
        </w:rPr>
      </w:pPr>
      <w:r>
        <w:rPr>
          <w:rFonts w:ascii="Calibri" w:hAnsi="Calibri" w:cs="Calibri"/>
          <w:color w:val="000000"/>
          <w:sz w:val="22"/>
          <w:szCs w:val="22"/>
        </w:rPr>
        <w:t>T</w:t>
      </w:r>
      <w:r w:rsidR="00FE120D">
        <w:rPr>
          <w:rFonts w:ascii="Calibri" w:hAnsi="Calibri" w:cs="Calibri"/>
          <w:color w:val="000000"/>
          <w:sz w:val="22"/>
          <w:szCs w:val="22"/>
        </w:rPr>
        <w:t xml:space="preserve">he Performer must maintain infrastructure ensuring the plant can hit validated maximum production on demand. Alternative technologies may be adopted without formal </w:t>
      </w:r>
      <w:r>
        <w:rPr>
          <w:rFonts w:ascii="Calibri" w:hAnsi="Calibri" w:cs="Calibri"/>
          <w:color w:val="000000"/>
          <w:sz w:val="22"/>
          <w:szCs w:val="22"/>
        </w:rPr>
        <w:t>government</w:t>
      </w:r>
      <w:r w:rsidR="00FE120D">
        <w:rPr>
          <w:rFonts w:ascii="Calibri" w:hAnsi="Calibri" w:cs="Calibri"/>
          <w:color w:val="000000"/>
          <w:sz w:val="22"/>
          <w:szCs w:val="22"/>
        </w:rPr>
        <w:t xml:space="preserve"> approval, provided the modification doesn't reduce or compromise the validated baseline capacity or security posture.</w:t>
      </w:r>
    </w:p>
    <w:p w14:paraId="1DB989E5" w14:textId="77777777" w:rsidR="005F139E" w:rsidRDefault="00FE120D">
      <w:pPr>
        <w:pStyle w:val="q-text"/>
        <w:spacing w:before="60" w:beforeAutospacing="0"/>
        <w:divId w:val="754744375"/>
        <w:rPr>
          <w:rFonts w:ascii="Calibri" w:hAnsi="Calibri" w:cs="Calibri"/>
          <w:color w:val="000000"/>
          <w:sz w:val="22"/>
          <w:szCs w:val="22"/>
        </w:rPr>
      </w:pPr>
      <w:r>
        <w:rPr>
          <w:rStyle w:val="q-num1"/>
          <w:rFonts w:ascii="Calibri" w:hAnsi="Calibri" w:cs="Calibri"/>
          <w:b/>
          <w:bCs/>
          <w:sz w:val="22"/>
          <w:szCs w:val="22"/>
        </w:rPr>
        <w:t>[131]</w:t>
      </w:r>
      <w:r>
        <w:rPr>
          <w:rFonts w:ascii="Calibri" w:hAnsi="Calibri" w:cs="Calibri"/>
          <w:color w:val="000000"/>
          <w:sz w:val="22"/>
          <w:szCs w:val="22"/>
        </w:rPr>
        <w:t xml:space="preserve"> Please consider amending the requirement to allow adjustment of sustainment commitments in the event of material changes in healthcare practice/technology/demand.</w:t>
      </w:r>
    </w:p>
    <w:p w14:paraId="71EBDF18" w14:textId="498447CB" w:rsidR="005F139E" w:rsidRDefault="00FE120D">
      <w:pPr>
        <w:pStyle w:val="a-text"/>
        <w:spacing w:after="60" w:afterAutospacing="0"/>
        <w:divId w:val="754744375"/>
        <w:rPr>
          <w:rFonts w:ascii="Calibri" w:hAnsi="Calibri" w:cs="Calibri"/>
          <w:color w:val="000000"/>
          <w:sz w:val="22"/>
          <w:szCs w:val="22"/>
        </w:rPr>
      </w:pPr>
      <w:r>
        <w:rPr>
          <w:rFonts w:ascii="Calibri" w:hAnsi="Calibri" w:cs="Calibri"/>
          <w:color w:val="000000"/>
          <w:sz w:val="22"/>
          <w:szCs w:val="22"/>
        </w:rPr>
        <w:t>The Government will not amend the solicitation to permit downscaling or structural adjustments to the 10-year</w:t>
      </w:r>
      <w:r w:rsidR="002043B3">
        <w:rPr>
          <w:rFonts w:ascii="Calibri" w:hAnsi="Calibri" w:cs="Calibri"/>
          <w:color w:val="000000"/>
          <w:sz w:val="22"/>
          <w:szCs w:val="22"/>
        </w:rPr>
        <w:t xml:space="preserve"> sustainment commitment</w:t>
      </w:r>
      <w:r>
        <w:rPr>
          <w:rFonts w:ascii="Calibri" w:hAnsi="Calibri" w:cs="Calibri"/>
          <w:color w:val="000000"/>
          <w:sz w:val="22"/>
          <w:szCs w:val="22"/>
        </w:rPr>
        <w:t>.</w:t>
      </w:r>
    </w:p>
    <w:p w14:paraId="00DA91CF" w14:textId="72C30F29" w:rsidR="005F139E" w:rsidRDefault="00FE120D">
      <w:pPr>
        <w:pStyle w:val="q-text"/>
        <w:spacing w:before="60" w:beforeAutospacing="0"/>
        <w:divId w:val="1934362142"/>
        <w:rPr>
          <w:rFonts w:ascii="Calibri" w:hAnsi="Calibri" w:cs="Calibri"/>
          <w:color w:val="000000"/>
          <w:sz w:val="22"/>
          <w:szCs w:val="22"/>
        </w:rPr>
      </w:pPr>
      <w:r>
        <w:rPr>
          <w:rStyle w:val="q-num1"/>
          <w:rFonts w:ascii="Calibri" w:hAnsi="Calibri" w:cs="Calibri"/>
          <w:b/>
          <w:bCs/>
          <w:sz w:val="22"/>
          <w:szCs w:val="22"/>
        </w:rPr>
        <w:t>[137]</w:t>
      </w:r>
      <w:r>
        <w:rPr>
          <w:rFonts w:ascii="Calibri" w:hAnsi="Calibri" w:cs="Calibri"/>
          <w:color w:val="000000"/>
          <w:sz w:val="22"/>
          <w:szCs w:val="22"/>
        </w:rPr>
        <w:t xml:space="preserve"> Under what authority are </w:t>
      </w:r>
      <w:r w:rsidR="00CF17A9">
        <w:rPr>
          <w:rFonts w:ascii="Calibri" w:hAnsi="Calibri" w:cs="Calibri"/>
          <w:color w:val="000000"/>
          <w:sz w:val="22"/>
          <w:szCs w:val="22"/>
        </w:rPr>
        <w:t>Respondents</w:t>
      </w:r>
      <w:r>
        <w:rPr>
          <w:rFonts w:ascii="Calibri" w:hAnsi="Calibri" w:cs="Calibri"/>
          <w:color w:val="000000"/>
          <w:sz w:val="22"/>
          <w:szCs w:val="22"/>
        </w:rPr>
        <w:t xml:space="preserve"> asked to commit to 10 years of continued financing/production after funding ceases, and how is it enforced?</w:t>
      </w:r>
    </w:p>
    <w:p w14:paraId="5C186FDD" w14:textId="040964C8" w:rsidR="005F139E" w:rsidRDefault="00647403" w:rsidP="002135EA">
      <w:pPr>
        <w:pStyle w:val="a-text"/>
        <w:spacing w:after="60" w:afterAutospacing="0"/>
        <w:divId w:val="1934362142"/>
        <w:rPr>
          <w:rFonts w:ascii="Calibri" w:hAnsi="Calibri" w:cs="Calibri"/>
          <w:color w:val="000000"/>
          <w:sz w:val="22"/>
          <w:szCs w:val="22"/>
        </w:rPr>
      </w:pPr>
      <w:r>
        <w:rPr>
          <w:rFonts w:ascii="Calibri" w:hAnsi="Calibri" w:cs="Calibri"/>
          <w:color w:val="000000"/>
          <w:sz w:val="22"/>
          <w:szCs w:val="22"/>
        </w:rPr>
        <w:t xml:space="preserve">The Project Agreement and the Corporate Bylaw Attestation </w:t>
      </w:r>
      <w:r w:rsidR="00671CBF">
        <w:rPr>
          <w:rFonts w:ascii="Calibri" w:hAnsi="Calibri" w:cs="Calibri"/>
          <w:color w:val="000000"/>
          <w:sz w:val="22"/>
          <w:szCs w:val="22"/>
        </w:rPr>
        <w:t xml:space="preserve">becomes the binding authority between the parties. </w:t>
      </w:r>
    </w:p>
    <w:p w14:paraId="30885DEF" w14:textId="77777777" w:rsidR="005F139E" w:rsidRDefault="00FE120D">
      <w:pPr>
        <w:pStyle w:val="q-text"/>
        <w:spacing w:before="60" w:beforeAutospacing="0"/>
        <w:divId w:val="646129207"/>
        <w:rPr>
          <w:rFonts w:ascii="Calibri" w:hAnsi="Calibri" w:cs="Calibri"/>
          <w:color w:val="000000"/>
          <w:sz w:val="22"/>
          <w:szCs w:val="22"/>
        </w:rPr>
      </w:pPr>
      <w:r>
        <w:rPr>
          <w:rStyle w:val="q-num1"/>
          <w:rFonts w:ascii="Calibri" w:hAnsi="Calibri" w:cs="Calibri"/>
          <w:b/>
          <w:bCs/>
          <w:sz w:val="22"/>
          <w:szCs w:val="22"/>
        </w:rPr>
        <w:t>[146]</w:t>
      </w:r>
      <w:r>
        <w:rPr>
          <w:rFonts w:ascii="Calibri" w:hAnsi="Calibri" w:cs="Calibri"/>
          <w:color w:val="000000"/>
          <w:sz w:val="22"/>
          <w:szCs w:val="22"/>
        </w:rPr>
        <w:t xml:space="preserve"> Is a 30/36-month timeline negotiable, given planning, construction, utility, equipment lead-time, and IQ/OQ/PQ realities?</w:t>
      </w:r>
    </w:p>
    <w:p w14:paraId="7A88674C" w14:textId="489A1AAC" w:rsidR="005F139E" w:rsidRPr="0055455A" w:rsidRDefault="00133F46" w:rsidP="002135EA">
      <w:pPr>
        <w:pStyle w:val="a-text"/>
        <w:spacing w:after="60" w:afterAutospacing="0"/>
        <w:divId w:val="646129207"/>
        <w:rPr>
          <w:rFonts w:ascii="Calibri" w:hAnsi="Calibri" w:cs="Calibri"/>
          <w:strike/>
          <w:color w:val="000000"/>
          <w:sz w:val="22"/>
          <w:szCs w:val="22"/>
        </w:rPr>
      </w:pPr>
      <w:r>
        <w:rPr>
          <w:rFonts w:ascii="Calibri" w:hAnsi="Calibri" w:cs="Calibri"/>
          <w:color w:val="000000"/>
          <w:sz w:val="22"/>
          <w:szCs w:val="22"/>
        </w:rPr>
        <w:t>The p</w:t>
      </w:r>
      <w:r w:rsidR="00FE120D">
        <w:rPr>
          <w:rFonts w:ascii="Calibri" w:hAnsi="Calibri" w:cs="Calibri"/>
          <w:color w:val="000000"/>
          <w:sz w:val="22"/>
          <w:szCs w:val="22"/>
        </w:rPr>
        <w:t xml:space="preserve">eriod of </w:t>
      </w:r>
      <w:r>
        <w:rPr>
          <w:rFonts w:ascii="Calibri" w:hAnsi="Calibri" w:cs="Calibri"/>
          <w:color w:val="000000"/>
          <w:sz w:val="22"/>
          <w:szCs w:val="22"/>
        </w:rPr>
        <w:t>p</w:t>
      </w:r>
      <w:r w:rsidR="00FE120D">
        <w:rPr>
          <w:rFonts w:ascii="Calibri" w:hAnsi="Calibri" w:cs="Calibri"/>
          <w:color w:val="000000"/>
          <w:sz w:val="22"/>
          <w:szCs w:val="22"/>
        </w:rPr>
        <w:t xml:space="preserve">erformance </w:t>
      </w:r>
      <w:r w:rsidR="006E6FC2">
        <w:rPr>
          <w:rFonts w:ascii="Calibri" w:hAnsi="Calibri" w:cs="Calibri"/>
          <w:color w:val="000000"/>
          <w:sz w:val="22"/>
          <w:szCs w:val="22"/>
        </w:rPr>
        <w:t xml:space="preserve">must </w:t>
      </w:r>
      <w:r w:rsidR="00C359AA">
        <w:rPr>
          <w:rFonts w:ascii="Calibri" w:hAnsi="Calibri" w:cs="Calibri"/>
          <w:color w:val="000000"/>
          <w:sz w:val="22"/>
          <w:szCs w:val="22"/>
        </w:rPr>
        <w:t>not exceed</w:t>
      </w:r>
      <w:r w:rsidR="00FE120D">
        <w:rPr>
          <w:rFonts w:ascii="Calibri" w:hAnsi="Calibri" w:cs="Calibri"/>
          <w:color w:val="000000"/>
          <w:sz w:val="22"/>
          <w:szCs w:val="22"/>
        </w:rPr>
        <w:t xml:space="preserve"> 24 months.</w:t>
      </w:r>
    </w:p>
    <w:p w14:paraId="5DEFC7C4" w14:textId="77777777" w:rsidR="005F139E" w:rsidRDefault="00FE120D">
      <w:pPr>
        <w:pStyle w:val="q-text"/>
        <w:spacing w:before="60" w:beforeAutospacing="0"/>
        <w:divId w:val="424574782"/>
        <w:rPr>
          <w:rFonts w:ascii="Calibri" w:hAnsi="Calibri" w:cs="Calibri"/>
          <w:color w:val="000000"/>
          <w:sz w:val="22"/>
          <w:szCs w:val="22"/>
        </w:rPr>
      </w:pPr>
      <w:r>
        <w:rPr>
          <w:rStyle w:val="q-num1"/>
          <w:rFonts w:ascii="Calibri" w:hAnsi="Calibri" w:cs="Calibri"/>
          <w:b/>
          <w:bCs/>
          <w:sz w:val="22"/>
          <w:szCs w:val="22"/>
        </w:rPr>
        <w:lastRenderedPageBreak/>
        <w:t>[149]</w:t>
      </w:r>
      <w:r>
        <w:rPr>
          <w:rFonts w:ascii="Calibri" w:hAnsi="Calibri" w:cs="Calibri"/>
          <w:color w:val="000000"/>
          <w:sz w:val="22"/>
          <w:szCs w:val="22"/>
        </w:rPr>
        <w:t xml:space="preserve"> For a capacity-expansion project, what documentation/timing of the ≥50% cost share is expected? Is the private 50% needed on day one or staged against milestones?</w:t>
      </w:r>
    </w:p>
    <w:p w14:paraId="02257C57" w14:textId="6026B071" w:rsidR="005F139E" w:rsidRPr="001378AA" w:rsidRDefault="00F30F4E" w:rsidP="001378AA">
      <w:pPr>
        <w:pStyle w:val="a-text"/>
        <w:spacing w:after="240" w:afterAutospacing="0"/>
        <w:divId w:val="424574782"/>
        <w:rPr>
          <w:rFonts w:ascii="Calibri" w:hAnsi="Calibri" w:cs="Calibri"/>
          <w:color w:val="000000"/>
          <w:sz w:val="22"/>
          <w:szCs w:val="22"/>
        </w:rPr>
      </w:pPr>
      <w:r>
        <w:rPr>
          <w:rFonts w:ascii="Calibri" w:hAnsi="Calibri" w:cs="Calibri"/>
          <w:color w:val="000000"/>
          <w:sz w:val="22"/>
          <w:szCs w:val="22"/>
        </w:rPr>
        <w:t>T</w:t>
      </w:r>
      <w:r w:rsidR="00FE120D">
        <w:rPr>
          <w:rFonts w:ascii="Calibri" w:hAnsi="Calibri" w:cs="Calibri"/>
          <w:color w:val="000000"/>
          <w:sz w:val="22"/>
          <w:szCs w:val="22"/>
        </w:rPr>
        <w:t>he 50% non-federal match does not need to be fully spent on day one but must be invoiced progressively as expenses are incurred. The Capitalization Plan must provide definitive proof (commitment letters, financial statements) at submission that 100% of the gross funding required is committed.</w:t>
      </w:r>
    </w:p>
    <w:p w14:paraId="731FBC7E" w14:textId="77777777" w:rsidR="005F139E" w:rsidRDefault="00FE120D">
      <w:pPr>
        <w:pStyle w:val="Heading2"/>
        <w:rPr>
          <w:rFonts w:ascii="Calibri" w:eastAsia="Times New Roman" w:hAnsi="Calibri" w:cs="Calibri"/>
        </w:rPr>
      </w:pPr>
      <w:r>
        <w:rPr>
          <w:rFonts w:ascii="Calibri" w:eastAsia="Times New Roman" w:hAnsi="Calibri" w:cs="Calibri"/>
        </w:rPr>
        <w:t>5. Period of Performance, Schedule &amp; MRL 10</w:t>
      </w:r>
    </w:p>
    <w:p w14:paraId="238F1208" w14:textId="77777777" w:rsidR="005F139E" w:rsidRDefault="00FE120D">
      <w:pPr>
        <w:pStyle w:val="q-text"/>
        <w:spacing w:before="60" w:beforeAutospacing="0"/>
        <w:divId w:val="705101939"/>
        <w:rPr>
          <w:rFonts w:ascii="Calibri" w:hAnsi="Calibri" w:cs="Calibri"/>
          <w:color w:val="000000"/>
          <w:sz w:val="22"/>
          <w:szCs w:val="22"/>
        </w:rPr>
      </w:pPr>
      <w:r>
        <w:rPr>
          <w:rStyle w:val="q-num1"/>
          <w:rFonts w:ascii="Calibri" w:hAnsi="Calibri" w:cs="Calibri"/>
          <w:b/>
          <w:bCs/>
          <w:sz w:val="22"/>
          <w:szCs w:val="22"/>
        </w:rPr>
        <w:t>[6]</w:t>
      </w:r>
      <w:r>
        <w:rPr>
          <w:rFonts w:ascii="Calibri" w:hAnsi="Calibri" w:cs="Calibri"/>
          <w:color w:val="000000"/>
          <w:sz w:val="22"/>
          <w:szCs w:val="22"/>
        </w:rPr>
        <w:t xml:space="preserve"> Will the Government consider incentives or favorable evaluation for a Q1 FY27 start?</w:t>
      </w:r>
    </w:p>
    <w:p w14:paraId="42B388CF" w14:textId="0BAF015B" w:rsidR="005F139E" w:rsidRDefault="00FE120D">
      <w:pPr>
        <w:pStyle w:val="a-text"/>
        <w:spacing w:after="60" w:afterAutospacing="0"/>
        <w:divId w:val="705101939"/>
        <w:rPr>
          <w:rFonts w:ascii="Calibri" w:hAnsi="Calibri" w:cs="Calibri"/>
          <w:color w:val="000000"/>
          <w:sz w:val="22"/>
          <w:szCs w:val="22"/>
        </w:rPr>
      </w:pPr>
      <w:r>
        <w:rPr>
          <w:rFonts w:ascii="Calibri" w:hAnsi="Calibri" w:cs="Calibri"/>
          <w:color w:val="000000"/>
          <w:sz w:val="22"/>
          <w:szCs w:val="22"/>
        </w:rPr>
        <w:t>The government baseline requests a performance kickoff in Quarter 2 of Government Fiscal Year 2027. While a Q1 startup displays organizational readiness, it will not receive formal incentive points outside standard Factor 1 schedule feasibility scoring.</w:t>
      </w:r>
    </w:p>
    <w:p w14:paraId="7C94471C" w14:textId="77777777" w:rsidR="005F139E" w:rsidRDefault="00FE120D">
      <w:pPr>
        <w:pStyle w:val="q-text"/>
        <w:spacing w:before="60" w:beforeAutospacing="0"/>
        <w:divId w:val="1077702432"/>
        <w:rPr>
          <w:rFonts w:ascii="Calibri" w:hAnsi="Calibri" w:cs="Calibri"/>
          <w:color w:val="000000"/>
          <w:sz w:val="22"/>
          <w:szCs w:val="22"/>
        </w:rPr>
      </w:pPr>
      <w:r>
        <w:rPr>
          <w:rStyle w:val="q-num1"/>
          <w:rFonts w:ascii="Calibri" w:hAnsi="Calibri" w:cs="Calibri"/>
          <w:b/>
          <w:bCs/>
          <w:sz w:val="22"/>
          <w:szCs w:val="22"/>
        </w:rPr>
        <w:t>[89]</w:t>
      </w:r>
      <w:r>
        <w:rPr>
          <w:rFonts w:ascii="Calibri" w:hAnsi="Calibri" w:cs="Calibri"/>
          <w:color w:val="000000"/>
          <w:sz w:val="22"/>
          <w:szCs w:val="22"/>
        </w:rPr>
        <w:t xml:space="preserve"> Does the two-week maximum task duration apply to long-lead equipment procurement and multi-month construction activities?</w:t>
      </w:r>
    </w:p>
    <w:p w14:paraId="5F78FC2C" w14:textId="4F42AA5F" w:rsidR="005F139E" w:rsidRPr="0055455A" w:rsidRDefault="00FE120D" w:rsidP="002135EA">
      <w:pPr>
        <w:pStyle w:val="a-text"/>
        <w:spacing w:after="60" w:afterAutospacing="0"/>
        <w:divId w:val="1077702432"/>
        <w:rPr>
          <w:rFonts w:ascii="Calibri" w:hAnsi="Calibri" w:cs="Calibri"/>
          <w:strike/>
          <w:color w:val="000000"/>
          <w:sz w:val="22"/>
          <w:szCs w:val="22"/>
        </w:rPr>
      </w:pPr>
      <w:r>
        <w:rPr>
          <w:rFonts w:ascii="Calibri" w:hAnsi="Calibri" w:cs="Calibri"/>
          <w:color w:val="000000"/>
          <w:sz w:val="22"/>
          <w:szCs w:val="22"/>
        </w:rPr>
        <w:t>Yes, the overall project spans 24 months.</w:t>
      </w:r>
    </w:p>
    <w:p w14:paraId="3F6F1FB1" w14:textId="77777777" w:rsidR="005F139E" w:rsidRDefault="00FE120D">
      <w:pPr>
        <w:pStyle w:val="q-text"/>
        <w:spacing w:before="60" w:beforeAutospacing="0"/>
        <w:divId w:val="1059354785"/>
        <w:rPr>
          <w:rFonts w:ascii="Calibri" w:hAnsi="Calibri" w:cs="Calibri"/>
          <w:color w:val="000000"/>
          <w:sz w:val="22"/>
          <w:szCs w:val="22"/>
        </w:rPr>
      </w:pPr>
      <w:r>
        <w:rPr>
          <w:rStyle w:val="q-num1"/>
          <w:rFonts w:ascii="Calibri" w:hAnsi="Calibri" w:cs="Calibri"/>
          <w:b/>
          <w:bCs/>
          <w:sz w:val="22"/>
          <w:szCs w:val="22"/>
        </w:rPr>
        <w:t>[90]</w:t>
      </w:r>
      <w:r>
        <w:rPr>
          <w:rFonts w:ascii="Calibri" w:hAnsi="Calibri" w:cs="Calibri"/>
          <w:color w:val="000000"/>
          <w:sz w:val="22"/>
          <w:szCs w:val="22"/>
        </w:rPr>
        <w:t xml:space="preserve"> Does Government action at the 30/60/90% design stages constitute review or approval? What is the maximum turnaround time?</w:t>
      </w:r>
    </w:p>
    <w:p w14:paraId="29FC5529" w14:textId="3B57D0A7" w:rsidR="00FA4B3D" w:rsidRDefault="00FA4B3D">
      <w:pPr>
        <w:pStyle w:val="a-text"/>
        <w:spacing w:after="60" w:afterAutospacing="0"/>
        <w:divId w:val="1059354785"/>
        <w:rPr>
          <w:rFonts w:ascii="Calibri" w:hAnsi="Calibri" w:cs="Calibri"/>
          <w:color w:val="000000"/>
          <w:sz w:val="22"/>
          <w:szCs w:val="22"/>
        </w:rPr>
      </w:pPr>
      <w:r w:rsidRPr="00FA4B3D">
        <w:rPr>
          <w:rFonts w:ascii="Calibri" w:hAnsi="Calibri" w:cs="Calibri"/>
          <w:color w:val="000000"/>
          <w:sz w:val="22"/>
          <w:szCs w:val="22"/>
        </w:rPr>
        <w:t>Government action at the 30%, 60%, and 90% design stages constitutes approval, not merely advisory review. Per Deliverables 22–25, the Performer may not proceed to the next design phase until Government approval of that stage's design package is received, in addition to approval from the Vendor and Engineer of Record. The Government will complete its review and issue a written approval or a written statement of required changes within ten (10) business days of receipt of a complete submission package. If changes are required, the ten-business-day period restarts upon resubmission of the revised package. Respondents should account for this gating approval requirement, including the possibility of one or more resubmission cycles, in their Integrated Master Schedule and Risk Register.</w:t>
      </w:r>
    </w:p>
    <w:p w14:paraId="491E951F" w14:textId="77777777" w:rsidR="005F139E" w:rsidRDefault="00FE120D">
      <w:pPr>
        <w:pStyle w:val="q-text"/>
        <w:spacing w:before="60" w:beforeAutospacing="0"/>
        <w:divId w:val="1387607449"/>
        <w:rPr>
          <w:rFonts w:ascii="Calibri" w:hAnsi="Calibri" w:cs="Calibri"/>
          <w:color w:val="000000"/>
          <w:sz w:val="22"/>
          <w:szCs w:val="22"/>
        </w:rPr>
      </w:pPr>
      <w:r>
        <w:rPr>
          <w:rStyle w:val="q-num1"/>
          <w:rFonts w:ascii="Calibri" w:hAnsi="Calibri" w:cs="Calibri"/>
          <w:b/>
          <w:bCs/>
          <w:sz w:val="22"/>
          <w:szCs w:val="22"/>
        </w:rPr>
        <w:t>[91]</w:t>
      </w:r>
      <w:r>
        <w:rPr>
          <w:rFonts w:ascii="Calibri" w:hAnsi="Calibri" w:cs="Calibri"/>
          <w:color w:val="000000"/>
          <w:sz w:val="22"/>
          <w:szCs w:val="22"/>
        </w:rPr>
        <w:t xml:space="preserve"> Which Attachment B and Base Agreement Attachment 1 requirements apply to this effort?</w:t>
      </w:r>
    </w:p>
    <w:p w14:paraId="354BA45F" w14:textId="12D84CA3" w:rsidR="005F139E" w:rsidRDefault="00B13FC0">
      <w:pPr>
        <w:pStyle w:val="a-text"/>
        <w:spacing w:after="60" w:afterAutospacing="0"/>
        <w:divId w:val="1387607449"/>
        <w:rPr>
          <w:rFonts w:ascii="Calibri" w:hAnsi="Calibri" w:cs="Calibri"/>
          <w:color w:val="000000"/>
          <w:sz w:val="22"/>
          <w:szCs w:val="22"/>
        </w:rPr>
      </w:pPr>
      <w:r w:rsidRPr="001E7DEB">
        <w:rPr>
          <w:rStyle w:val="a-label1"/>
          <w:rFonts w:ascii="Calibri" w:hAnsi="Calibri" w:cs="Calibri"/>
          <w:b w:val="0"/>
          <w:bCs w:val="0"/>
          <w:i w:val="0"/>
          <w:iCs w:val="0"/>
          <w:sz w:val="22"/>
          <w:szCs w:val="22"/>
        </w:rPr>
        <w:t>A</w:t>
      </w:r>
      <w:r w:rsidR="001E7DEB" w:rsidRPr="001E7DEB">
        <w:rPr>
          <w:rStyle w:val="a-label1"/>
          <w:rFonts w:ascii="Calibri" w:hAnsi="Calibri" w:cs="Calibri"/>
          <w:b w:val="0"/>
          <w:bCs w:val="0"/>
          <w:i w:val="0"/>
          <w:iCs w:val="0"/>
          <w:sz w:val="22"/>
          <w:szCs w:val="22"/>
        </w:rPr>
        <w:t>ll Attachment B and Base Agreement Attachment 1 requirements are applicable</w:t>
      </w:r>
      <w:r w:rsidR="00FE120D">
        <w:rPr>
          <w:rFonts w:ascii="Calibri" w:hAnsi="Calibri" w:cs="Calibri"/>
          <w:color w:val="000000"/>
          <w:sz w:val="22"/>
          <w:szCs w:val="22"/>
        </w:rPr>
        <w:t>.</w:t>
      </w:r>
    </w:p>
    <w:p w14:paraId="31EDAFBF" w14:textId="38352EC6" w:rsidR="005F139E" w:rsidRDefault="00FE120D">
      <w:pPr>
        <w:pStyle w:val="q-text"/>
        <w:spacing w:before="60" w:beforeAutospacing="0"/>
        <w:divId w:val="1351295452"/>
        <w:rPr>
          <w:rFonts w:ascii="Calibri" w:hAnsi="Calibri" w:cs="Calibri"/>
          <w:color w:val="000000"/>
          <w:sz w:val="22"/>
          <w:szCs w:val="22"/>
        </w:rPr>
      </w:pPr>
      <w:r>
        <w:rPr>
          <w:rStyle w:val="q-num1"/>
          <w:rFonts w:ascii="Calibri" w:hAnsi="Calibri" w:cs="Calibri"/>
          <w:b/>
          <w:bCs/>
          <w:sz w:val="22"/>
          <w:szCs w:val="22"/>
        </w:rPr>
        <w:t>[103]</w:t>
      </w:r>
      <w:r>
        <w:rPr>
          <w:rFonts w:ascii="Calibri" w:hAnsi="Calibri" w:cs="Calibri"/>
          <w:color w:val="000000"/>
          <w:sz w:val="22"/>
          <w:szCs w:val="22"/>
        </w:rPr>
        <w:t xml:space="preserve"> </w:t>
      </w:r>
      <w:r w:rsidR="00634C7E">
        <w:rPr>
          <w:rFonts w:ascii="Calibri" w:hAnsi="Calibri" w:cs="Calibri"/>
          <w:color w:val="000000"/>
          <w:sz w:val="22"/>
          <w:szCs w:val="22"/>
        </w:rPr>
        <w:t>Requests fix</w:t>
      </w:r>
      <w:r>
        <w:rPr>
          <w:rFonts w:ascii="Calibri" w:hAnsi="Calibri" w:cs="Calibri"/>
          <w:color w:val="000000"/>
          <w:sz w:val="22"/>
          <w:szCs w:val="22"/>
        </w:rPr>
        <w:t xml:space="preserve"> MRL 10 acceptance criteria at award (duration, output rate, yield/AQL, documentation); exclude Government review time/regulatory authorization delay from the 24-month period; confirm whether the 24-month limit can be exceeded for larger facilities; clarify how the 10-year sustainment obligation is assessed absent long-term Government procurement.</w:t>
      </w:r>
    </w:p>
    <w:p w14:paraId="067C070F" w14:textId="7B9262D7" w:rsidR="005F139E" w:rsidRDefault="00FE120D">
      <w:pPr>
        <w:pStyle w:val="a-text"/>
        <w:spacing w:after="60" w:afterAutospacing="0"/>
        <w:divId w:val="1351295452"/>
        <w:rPr>
          <w:rFonts w:ascii="Calibri" w:hAnsi="Calibri" w:cs="Calibri"/>
          <w:color w:val="000000"/>
          <w:sz w:val="22"/>
          <w:szCs w:val="22"/>
        </w:rPr>
      </w:pPr>
      <w:r>
        <w:rPr>
          <w:rFonts w:ascii="Calibri" w:hAnsi="Calibri" w:cs="Calibri"/>
          <w:color w:val="000000"/>
          <w:sz w:val="22"/>
          <w:szCs w:val="22"/>
        </w:rPr>
        <w:t xml:space="preserve">Specific parameters and demonstration expectations are locked into the SOW during post-selection negotiations. The Performer must demonstrate full facility integration and validation up to a repeatable, full-scale run before the 24 months conclude. The 24-month timeframe is a non-negotiable performance wall; the Performer bears full responsibility for managing schedule risks, including standard 10-business-day review windows and regulatory dependencies, within their Risk Register and IMS. The </w:t>
      </w:r>
      <w:r w:rsidR="00EA1DF9">
        <w:rPr>
          <w:rFonts w:ascii="Calibri" w:hAnsi="Calibri" w:cs="Calibri"/>
          <w:color w:val="000000"/>
          <w:sz w:val="22"/>
          <w:szCs w:val="22"/>
        </w:rPr>
        <w:t>p</w:t>
      </w:r>
      <w:r>
        <w:rPr>
          <w:rFonts w:ascii="Calibri" w:hAnsi="Calibri" w:cs="Calibri"/>
          <w:color w:val="000000"/>
          <w:sz w:val="22"/>
          <w:szCs w:val="22"/>
        </w:rPr>
        <w:t xml:space="preserve">eriod of </w:t>
      </w:r>
      <w:r w:rsidR="00EA1DF9">
        <w:rPr>
          <w:rFonts w:ascii="Calibri" w:hAnsi="Calibri" w:cs="Calibri"/>
          <w:color w:val="000000"/>
          <w:sz w:val="22"/>
          <w:szCs w:val="22"/>
        </w:rPr>
        <w:t>p</w:t>
      </w:r>
      <w:r>
        <w:rPr>
          <w:rFonts w:ascii="Calibri" w:hAnsi="Calibri" w:cs="Calibri"/>
          <w:color w:val="000000"/>
          <w:sz w:val="22"/>
          <w:szCs w:val="22"/>
        </w:rPr>
        <w:t xml:space="preserve">erformance </w:t>
      </w:r>
      <w:r w:rsidR="00EA1DF9">
        <w:rPr>
          <w:rFonts w:ascii="Calibri" w:hAnsi="Calibri" w:cs="Calibri"/>
          <w:color w:val="000000"/>
          <w:sz w:val="22"/>
          <w:szCs w:val="22"/>
        </w:rPr>
        <w:t>must</w:t>
      </w:r>
      <w:r>
        <w:rPr>
          <w:rFonts w:ascii="Calibri" w:hAnsi="Calibri" w:cs="Calibri"/>
          <w:color w:val="000000"/>
          <w:sz w:val="22"/>
          <w:szCs w:val="22"/>
        </w:rPr>
        <w:t xml:space="preserve"> not exceed 24 months. The 10-year standby readiness and surge-access commitment is mandatory and legally binding; it will not be altered, reduced, or funded by the Government — the 4-page Commercial Viability Plan must absorb 100% of these lifecycle costs using commercial revenue.</w:t>
      </w:r>
    </w:p>
    <w:p w14:paraId="5F2787AA" w14:textId="77777777" w:rsidR="005F139E" w:rsidRDefault="00FE120D">
      <w:pPr>
        <w:pStyle w:val="q-text"/>
        <w:spacing w:before="60" w:beforeAutospacing="0"/>
        <w:divId w:val="2034721651"/>
        <w:rPr>
          <w:rFonts w:ascii="Calibri" w:hAnsi="Calibri" w:cs="Calibri"/>
          <w:color w:val="000000"/>
          <w:sz w:val="22"/>
          <w:szCs w:val="22"/>
        </w:rPr>
      </w:pPr>
      <w:r>
        <w:rPr>
          <w:rStyle w:val="q-num1"/>
          <w:rFonts w:ascii="Calibri" w:hAnsi="Calibri" w:cs="Calibri"/>
          <w:b/>
          <w:bCs/>
          <w:sz w:val="22"/>
          <w:szCs w:val="22"/>
        </w:rPr>
        <w:t>[110]</w:t>
      </w:r>
      <w:r>
        <w:rPr>
          <w:rFonts w:ascii="Calibri" w:hAnsi="Calibri" w:cs="Calibri"/>
          <w:color w:val="000000"/>
          <w:sz w:val="22"/>
          <w:szCs w:val="22"/>
        </w:rPr>
        <w:t xml:space="preserve"> Is MRL 10 acceptance conditioned on FDA clearance covering the manufacturing process as built? How does a mid-project regulatory change affect MRL 10 acceptance? Would the Government accept MRL 8 (or below) at the end of 24 months, with MRL 10 demonstrated later?</w:t>
      </w:r>
    </w:p>
    <w:p w14:paraId="0A8C6DF6" w14:textId="3B82335C" w:rsidR="005F139E" w:rsidRDefault="00CF17A9">
      <w:pPr>
        <w:pStyle w:val="a-text"/>
        <w:spacing w:after="60" w:afterAutospacing="0"/>
        <w:divId w:val="2034721651"/>
        <w:rPr>
          <w:rFonts w:ascii="Calibri" w:hAnsi="Calibri" w:cs="Calibri"/>
          <w:color w:val="000000"/>
          <w:sz w:val="22"/>
          <w:szCs w:val="22"/>
        </w:rPr>
      </w:pPr>
      <w:r>
        <w:rPr>
          <w:rFonts w:ascii="Calibri" w:hAnsi="Calibri" w:cs="Calibri"/>
          <w:color w:val="000000"/>
          <w:sz w:val="22"/>
          <w:szCs w:val="22"/>
        </w:rPr>
        <w:t>Respondents</w:t>
      </w:r>
      <w:r w:rsidR="00FE120D">
        <w:rPr>
          <w:rFonts w:ascii="Calibri" w:hAnsi="Calibri" w:cs="Calibri"/>
          <w:color w:val="000000"/>
          <w:sz w:val="22"/>
          <w:szCs w:val="22"/>
        </w:rPr>
        <w:t xml:space="preserve"> do not need a finalized FDA stamp in hand to clear technical milestone payments, but must possess a physically complete, validated, high-speed operational line. If regulatory </w:t>
      </w:r>
      <w:r w:rsidR="0063138E">
        <w:rPr>
          <w:rFonts w:ascii="Calibri" w:hAnsi="Calibri" w:cs="Calibri"/>
          <w:color w:val="000000"/>
          <w:sz w:val="22"/>
          <w:szCs w:val="22"/>
        </w:rPr>
        <w:t>changes affect MRL10</w:t>
      </w:r>
      <w:r w:rsidR="00240C3C">
        <w:rPr>
          <w:rFonts w:ascii="Calibri" w:hAnsi="Calibri" w:cs="Calibri"/>
          <w:color w:val="000000"/>
          <w:sz w:val="22"/>
          <w:szCs w:val="22"/>
        </w:rPr>
        <w:t xml:space="preserve">, </w:t>
      </w:r>
      <w:r w:rsidR="008857BC">
        <w:rPr>
          <w:rFonts w:ascii="Calibri" w:hAnsi="Calibri" w:cs="Calibri"/>
          <w:color w:val="000000"/>
          <w:sz w:val="22"/>
          <w:szCs w:val="22"/>
        </w:rPr>
        <w:t xml:space="preserve">RPP </w:t>
      </w:r>
      <w:r w:rsidR="00793486">
        <w:rPr>
          <w:rFonts w:ascii="Calibri" w:hAnsi="Calibri" w:cs="Calibri"/>
          <w:color w:val="000000"/>
          <w:sz w:val="22"/>
          <w:szCs w:val="22"/>
        </w:rPr>
        <w:t xml:space="preserve">Attachment A </w:t>
      </w:r>
      <w:r w:rsidR="00240C3C">
        <w:rPr>
          <w:rFonts w:ascii="Calibri" w:hAnsi="Calibri" w:cs="Calibri"/>
          <w:color w:val="000000"/>
          <w:sz w:val="22"/>
          <w:szCs w:val="22"/>
        </w:rPr>
        <w:t xml:space="preserve">will be amended </w:t>
      </w:r>
      <w:r w:rsidR="00C6309A">
        <w:rPr>
          <w:rFonts w:ascii="Calibri" w:hAnsi="Calibri" w:cs="Calibri"/>
          <w:color w:val="000000"/>
          <w:sz w:val="22"/>
          <w:szCs w:val="22"/>
        </w:rPr>
        <w:t>accordingly</w:t>
      </w:r>
      <w:r w:rsidR="00FE120D">
        <w:rPr>
          <w:rFonts w:ascii="Calibri" w:hAnsi="Calibri" w:cs="Calibri"/>
          <w:color w:val="000000"/>
          <w:sz w:val="22"/>
          <w:szCs w:val="22"/>
        </w:rPr>
        <w:t>.</w:t>
      </w:r>
    </w:p>
    <w:p w14:paraId="48632ABE" w14:textId="77777777" w:rsidR="005F139E" w:rsidRDefault="00FE120D">
      <w:pPr>
        <w:pStyle w:val="q-text"/>
        <w:spacing w:before="60" w:beforeAutospacing="0"/>
        <w:divId w:val="1227758706"/>
        <w:rPr>
          <w:rFonts w:ascii="Calibri" w:hAnsi="Calibri" w:cs="Calibri"/>
          <w:color w:val="000000"/>
          <w:sz w:val="22"/>
          <w:szCs w:val="22"/>
        </w:rPr>
      </w:pPr>
      <w:r>
        <w:rPr>
          <w:rStyle w:val="q-num1"/>
          <w:rFonts w:ascii="Calibri" w:hAnsi="Calibri" w:cs="Calibri"/>
          <w:b/>
          <w:bCs/>
          <w:sz w:val="22"/>
          <w:szCs w:val="22"/>
        </w:rPr>
        <w:lastRenderedPageBreak/>
        <w:t>[122]</w:t>
      </w:r>
      <w:r>
        <w:rPr>
          <w:rFonts w:ascii="Calibri" w:hAnsi="Calibri" w:cs="Calibri"/>
          <w:color w:val="000000"/>
          <w:sz w:val="22"/>
          <w:szCs w:val="22"/>
        </w:rPr>
        <w:t xml:space="preserve"> Request for phase-by-phase achievable 24-month schedule (design, review gates, permitting, construction, procurement, installation, IQ/OQ/PQ, validation, MRL 10 demonstration). How will delay from permitting, utility interconnection, and vendor lead time be treated against the MRL 10 deadline?</w:t>
      </w:r>
    </w:p>
    <w:p w14:paraId="1F6B9397" w14:textId="14E26FE4" w:rsidR="005F139E" w:rsidRDefault="00FE120D" w:rsidP="00F30409">
      <w:pPr>
        <w:pStyle w:val="a-text"/>
        <w:spacing w:after="60" w:afterAutospacing="0"/>
        <w:divId w:val="1227758706"/>
        <w:rPr>
          <w:rFonts w:ascii="Calibri" w:hAnsi="Calibri" w:cs="Calibri"/>
          <w:color w:val="000000"/>
          <w:sz w:val="22"/>
          <w:szCs w:val="22"/>
        </w:rPr>
      </w:pPr>
      <w:r>
        <w:rPr>
          <w:rFonts w:ascii="Calibri" w:hAnsi="Calibri" w:cs="Calibri"/>
          <w:color w:val="000000"/>
          <w:sz w:val="22"/>
          <w:szCs w:val="22"/>
        </w:rPr>
        <w:t xml:space="preserve">The Government declines to publish a fixed structural baseline or standard timeframe guide; schedules must be engineered from the ground up to the actual complexity of the proposed layout. </w:t>
      </w:r>
    </w:p>
    <w:p w14:paraId="7D09D627" w14:textId="77777777" w:rsidR="005F139E" w:rsidRDefault="00FE120D">
      <w:pPr>
        <w:pStyle w:val="q-text"/>
        <w:spacing w:before="60" w:beforeAutospacing="0"/>
        <w:divId w:val="1217744321"/>
        <w:rPr>
          <w:rFonts w:ascii="Calibri" w:hAnsi="Calibri" w:cs="Calibri"/>
          <w:color w:val="000000"/>
          <w:sz w:val="22"/>
          <w:szCs w:val="22"/>
        </w:rPr>
      </w:pPr>
      <w:r>
        <w:rPr>
          <w:rStyle w:val="q-num1"/>
          <w:rFonts w:ascii="Calibri" w:hAnsi="Calibri" w:cs="Calibri"/>
          <w:b/>
          <w:bCs/>
          <w:sz w:val="22"/>
          <w:szCs w:val="22"/>
        </w:rPr>
        <w:t>[147]</w:t>
      </w:r>
      <w:r>
        <w:rPr>
          <w:rFonts w:ascii="Calibri" w:hAnsi="Calibri" w:cs="Calibri"/>
          <w:color w:val="000000"/>
          <w:sz w:val="22"/>
          <w:szCs w:val="22"/>
        </w:rPr>
        <w:t xml:space="preserve"> Does MRL 10 include 510(k) approval of gloves, which requires FDA review?</w:t>
      </w:r>
    </w:p>
    <w:p w14:paraId="7D698F40" w14:textId="5E6C1AA3" w:rsidR="005F139E" w:rsidRDefault="00FE120D">
      <w:pPr>
        <w:pStyle w:val="a-text"/>
        <w:spacing w:after="60" w:afterAutospacing="0"/>
        <w:divId w:val="1217744321"/>
        <w:rPr>
          <w:rFonts w:ascii="Calibri" w:hAnsi="Calibri" w:cs="Calibri"/>
          <w:color w:val="000000"/>
          <w:sz w:val="22"/>
          <w:szCs w:val="22"/>
        </w:rPr>
      </w:pPr>
      <w:r>
        <w:rPr>
          <w:rFonts w:ascii="Calibri" w:hAnsi="Calibri" w:cs="Calibri"/>
          <w:color w:val="000000"/>
          <w:sz w:val="22"/>
          <w:szCs w:val="22"/>
        </w:rPr>
        <w:t>MRL 10 requires full physical facility and process validation within 24 months</w:t>
      </w:r>
      <w:r w:rsidR="0057380F">
        <w:rPr>
          <w:rFonts w:ascii="Calibri" w:hAnsi="Calibri" w:cs="Calibri"/>
          <w:color w:val="000000"/>
          <w:sz w:val="22"/>
          <w:szCs w:val="22"/>
        </w:rPr>
        <w:t xml:space="preserve"> in accordance with RPP </w:t>
      </w:r>
      <w:r w:rsidR="007E16A8">
        <w:rPr>
          <w:rFonts w:ascii="Calibri" w:hAnsi="Calibri" w:cs="Calibri"/>
          <w:color w:val="000000"/>
          <w:sz w:val="22"/>
          <w:szCs w:val="22"/>
        </w:rPr>
        <w:t xml:space="preserve">Attachment A </w:t>
      </w:r>
      <w:r w:rsidR="0039380A">
        <w:rPr>
          <w:rFonts w:ascii="Calibri" w:hAnsi="Calibri" w:cs="Calibri"/>
          <w:color w:val="000000"/>
          <w:sz w:val="22"/>
          <w:szCs w:val="22"/>
        </w:rPr>
        <w:t>Section 2.1.1.2</w:t>
      </w:r>
      <w:r w:rsidR="007E16A8">
        <w:rPr>
          <w:rFonts w:ascii="Calibri" w:hAnsi="Calibri" w:cs="Calibri"/>
          <w:color w:val="000000"/>
          <w:sz w:val="22"/>
          <w:szCs w:val="22"/>
        </w:rPr>
        <w:t xml:space="preserve"> </w:t>
      </w:r>
      <w:r>
        <w:rPr>
          <w:rFonts w:ascii="Calibri" w:hAnsi="Calibri" w:cs="Calibri"/>
          <w:color w:val="000000"/>
          <w:sz w:val="22"/>
          <w:szCs w:val="22"/>
        </w:rPr>
        <w:t>.</w:t>
      </w:r>
    </w:p>
    <w:p w14:paraId="55A97878" w14:textId="77777777" w:rsidR="005F139E" w:rsidRDefault="00FE120D">
      <w:pPr>
        <w:pStyle w:val="q-text"/>
        <w:spacing w:before="60" w:beforeAutospacing="0"/>
        <w:divId w:val="146675647"/>
        <w:rPr>
          <w:rFonts w:ascii="Calibri" w:hAnsi="Calibri" w:cs="Calibri"/>
          <w:color w:val="000000"/>
          <w:sz w:val="22"/>
          <w:szCs w:val="22"/>
        </w:rPr>
      </w:pPr>
      <w:r>
        <w:rPr>
          <w:rStyle w:val="q-num1"/>
          <w:rFonts w:ascii="Calibri" w:hAnsi="Calibri" w:cs="Calibri"/>
          <w:b/>
          <w:bCs/>
          <w:sz w:val="22"/>
          <w:szCs w:val="22"/>
        </w:rPr>
        <w:t>[150]</w:t>
      </w:r>
      <w:r>
        <w:rPr>
          <w:rFonts w:ascii="Calibri" w:hAnsi="Calibri" w:cs="Calibri"/>
          <w:color w:val="000000"/>
          <w:sz w:val="22"/>
          <w:szCs w:val="22"/>
        </w:rPr>
        <w:t xml:space="preserve"> Does "product qualification process" mean internal ASTM testing (which can be done timely) or FDA 510(k) approval (9-12 months)?</w:t>
      </w:r>
    </w:p>
    <w:p w14:paraId="617F74ED" w14:textId="56422A53" w:rsidR="005F139E" w:rsidRDefault="00856D5B">
      <w:pPr>
        <w:pStyle w:val="a-text"/>
        <w:spacing w:after="60" w:afterAutospacing="0"/>
        <w:divId w:val="146675647"/>
        <w:rPr>
          <w:rFonts w:ascii="Calibri" w:hAnsi="Calibri" w:cs="Calibri"/>
          <w:color w:val="000000"/>
          <w:sz w:val="22"/>
          <w:szCs w:val="22"/>
        </w:rPr>
      </w:pPr>
      <w:r>
        <w:rPr>
          <w:rFonts w:ascii="Calibri" w:hAnsi="Calibri" w:cs="Calibri"/>
          <w:color w:val="000000"/>
          <w:sz w:val="22"/>
          <w:szCs w:val="22"/>
        </w:rPr>
        <w:t>See</w:t>
      </w:r>
      <w:r w:rsidR="00630999">
        <w:rPr>
          <w:rFonts w:ascii="Calibri" w:hAnsi="Calibri" w:cs="Calibri"/>
          <w:color w:val="000000"/>
          <w:sz w:val="22"/>
          <w:szCs w:val="22"/>
        </w:rPr>
        <w:t xml:space="preserve"> </w:t>
      </w:r>
      <w:r w:rsidR="00FE120D">
        <w:rPr>
          <w:rFonts w:ascii="Calibri" w:hAnsi="Calibri" w:cs="Calibri"/>
          <w:color w:val="000000"/>
          <w:sz w:val="22"/>
          <w:szCs w:val="22"/>
        </w:rPr>
        <w:t xml:space="preserve">response </w:t>
      </w:r>
      <w:r>
        <w:rPr>
          <w:rFonts w:ascii="Calibri" w:hAnsi="Calibri" w:cs="Calibri"/>
          <w:color w:val="000000"/>
          <w:sz w:val="22"/>
          <w:szCs w:val="22"/>
        </w:rPr>
        <w:t xml:space="preserve">for </w:t>
      </w:r>
      <w:r w:rsidR="00FE120D">
        <w:rPr>
          <w:rFonts w:ascii="Calibri" w:hAnsi="Calibri" w:cs="Calibri"/>
          <w:color w:val="000000"/>
          <w:sz w:val="22"/>
          <w:szCs w:val="22"/>
        </w:rPr>
        <w:t>Question 147.</w:t>
      </w:r>
    </w:p>
    <w:p w14:paraId="71B58010" w14:textId="435E9F9F" w:rsidR="005F139E" w:rsidRDefault="00FE120D">
      <w:pPr>
        <w:pStyle w:val="q-text"/>
        <w:spacing w:before="60" w:beforeAutospacing="0"/>
        <w:divId w:val="90782640"/>
        <w:rPr>
          <w:rFonts w:ascii="Calibri" w:hAnsi="Calibri" w:cs="Calibri"/>
          <w:color w:val="000000"/>
          <w:sz w:val="22"/>
          <w:szCs w:val="22"/>
        </w:rPr>
      </w:pPr>
      <w:r>
        <w:rPr>
          <w:rStyle w:val="q-num1"/>
          <w:rFonts w:ascii="Calibri" w:hAnsi="Calibri" w:cs="Calibri"/>
          <w:b/>
          <w:bCs/>
          <w:sz w:val="22"/>
          <w:szCs w:val="22"/>
        </w:rPr>
        <w:t>[151]</w:t>
      </w:r>
      <w:r>
        <w:rPr>
          <w:rFonts w:ascii="Calibri" w:hAnsi="Calibri" w:cs="Calibri"/>
          <w:color w:val="000000"/>
          <w:sz w:val="22"/>
          <w:szCs w:val="22"/>
        </w:rPr>
        <w:t xml:space="preserve"> Should </w:t>
      </w:r>
      <w:r w:rsidR="00CF17A9">
        <w:rPr>
          <w:rFonts w:ascii="Calibri" w:hAnsi="Calibri" w:cs="Calibri"/>
          <w:color w:val="000000"/>
          <w:sz w:val="22"/>
          <w:szCs w:val="22"/>
        </w:rPr>
        <w:t>Respondents</w:t>
      </w:r>
      <w:r>
        <w:rPr>
          <w:rFonts w:ascii="Calibri" w:hAnsi="Calibri" w:cs="Calibri"/>
          <w:color w:val="000000"/>
          <w:sz w:val="22"/>
          <w:szCs w:val="22"/>
        </w:rPr>
        <w:t xml:space="preserve"> independently define the transition from commercial operation to surge production, or will the Government provide a common surge scenario for consistent evaluation?</w:t>
      </w:r>
    </w:p>
    <w:p w14:paraId="7B756B1E" w14:textId="2ED87CB0" w:rsidR="005F139E" w:rsidRPr="001378AA" w:rsidRDefault="00CF17A9" w:rsidP="001378AA">
      <w:pPr>
        <w:pStyle w:val="a-text"/>
        <w:spacing w:after="240" w:afterAutospacing="0"/>
        <w:divId w:val="90782640"/>
        <w:rPr>
          <w:rFonts w:ascii="Calibri" w:hAnsi="Calibri" w:cs="Calibri"/>
          <w:color w:val="000000"/>
          <w:sz w:val="22"/>
          <w:szCs w:val="22"/>
        </w:rPr>
      </w:pPr>
      <w:r>
        <w:rPr>
          <w:rFonts w:ascii="Calibri" w:hAnsi="Calibri" w:cs="Calibri"/>
          <w:color w:val="000000"/>
          <w:sz w:val="22"/>
          <w:szCs w:val="22"/>
        </w:rPr>
        <w:t>Respondents</w:t>
      </w:r>
      <w:r w:rsidR="00FE120D">
        <w:rPr>
          <w:rFonts w:ascii="Calibri" w:hAnsi="Calibri" w:cs="Calibri"/>
          <w:color w:val="000000"/>
          <w:sz w:val="22"/>
          <w:szCs w:val="22"/>
        </w:rPr>
        <w:t xml:space="preserve"> must independently define and mathematically model their own transition timelines.</w:t>
      </w:r>
    </w:p>
    <w:p w14:paraId="629B5016" w14:textId="423435BE" w:rsidR="005F139E" w:rsidRDefault="00FE120D">
      <w:pPr>
        <w:pStyle w:val="Heading2"/>
        <w:rPr>
          <w:rFonts w:ascii="Calibri" w:eastAsia="Times New Roman" w:hAnsi="Calibri" w:cs="Calibri"/>
        </w:rPr>
      </w:pPr>
      <w:r>
        <w:rPr>
          <w:rFonts w:ascii="Calibri" w:eastAsia="Times New Roman" w:hAnsi="Calibri" w:cs="Calibri"/>
        </w:rPr>
        <w:t>6. Cost-Share</w:t>
      </w:r>
      <w:r w:rsidR="00CF17A9">
        <w:rPr>
          <w:rFonts w:ascii="Calibri" w:eastAsia="Times New Roman" w:hAnsi="Calibri" w:cs="Calibri"/>
        </w:rPr>
        <w:t xml:space="preserve"> </w:t>
      </w:r>
      <w:r>
        <w:rPr>
          <w:rFonts w:ascii="Calibri" w:eastAsia="Times New Roman" w:hAnsi="Calibri" w:cs="Calibri"/>
        </w:rPr>
        <w:t>Structure, Sources &amp; Eligible Costs</w:t>
      </w:r>
    </w:p>
    <w:p w14:paraId="7B5C554C" w14:textId="77777777" w:rsidR="005F139E" w:rsidRDefault="00FE120D">
      <w:pPr>
        <w:pStyle w:val="q-text"/>
        <w:spacing w:before="60" w:beforeAutospacing="0"/>
        <w:divId w:val="1613824344"/>
        <w:rPr>
          <w:rFonts w:ascii="Calibri" w:hAnsi="Calibri" w:cs="Calibri"/>
          <w:color w:val="000000"/>
          <w:sz w:val="22"/>
          <w:szCs w:val="22"/>
        </w:rPr>
      </w:pPr>
      <w:r>
        <w:rPr>
          <w:rStyle w:val="q-num1"/>
          <w:rFonts w:ascii="Calibri" w:hAnsi="Calibri" w:cs="Calibri"/>
          <w:b/>
          <w:bCs/>
          <w:sz w:val="22"/>
          <w:szCs w:val="22"/>
        </w:rPr>
        <w:t>[12]</w:t>
      </w:r>
      <w:r>
        <w:rPr>
          <w:rFonts w:ascii="Calibri" w:hAnsi="Calibri" w:cs="Calibri"/>
          <w:color w:val="000000"/>
          <w:sz w:val="22"/>
          <w:szCs w:val="22"/>
        </w:rPr>
        <w:t xml:space="preserve"> In a cost-reimbursable contract, will the government reimburse for any cost overruns?</w:t>
      </w:r>
    </w:p>
    <w:p w14:paraId="204147BC" w14:textId="1047DF50" w:rsidR="005F139E" w:rsidRDefault="00FE120D">
      <w:pPr>
        <w:pStyle w:val="a-text"/>
        <w:spacing w:after="60" w:afterAutospacing="0"/>
        <w:divId w:val="1613824344"/>
        <w:rPr>
          <w:rFonts w:ascii="Calibri" w:hAnsi="Calibri" w:cs="Calibri"/>
          <w:color w:val="000000"/>
          <w:sz w:val="22"/>
          <w:szCs w:val="22"/>
        </w:rPr>
      </w:pPr>
      <w:r>
        <w:rPr>
          <w:rFonts w:ascii="Calibri" w:hAnsi="Calibri" w:cs="Calibri"/>
          <w:color w:val="000000"/>
          <w:sz w:val="22"/>
          <w:szCs w:val="22"/>
        </w:rPr>
        <w:t xml:space="preserve">The </w:t>
      </w:r>
      <w:r w:rsidR="00E366AD">
        <w:rPr>
          <w:rFonts w:ascii="Calibri" w:hAnsi="Calibri" w:cs="Calibri"/>
          <w:color w:val="000000"/>
          <w:sz w:val="22"/>
          <w:szCs w:val="22"/>
        </w:rPr>
        <w:t>Respondent</w:t>
      </w:r>
      <w:r>
        <w:rPr>
          <w:rFonts w:ascii="Calibri" w:hAnsi="Calibri" w:cs="Calibri"/>
          <w:color w:val="000000"/>
          <w:sz w:val="22"/>
          <w:szCs w:val="22"/>
        </w:rPr>
        <w:t xml:space="preserve"> should propose costs commensurate with the work to be performed.</w:t>
      </w:r>
    </w:p>
    <w:p w14:paraId="0369CC58" w14:textId="295455B7" w:rsidR="005F139E" w:rsidRDefault="00FE120D">
      <w:pPr>
        <w:pStyle w:val="q-text"/>
        <w:spacing w:before="60" w:beforeAutospacing="0"/>
        <w:divId w:val="232160655"/>
        <w:rPr>
          <w:rFonts w:ascii="Calibri" w:hAnsi="Calibri" w:cs="Calibri"/>
          <w:color w:val="000000"/>
          <w:sz w:val="22"/>
          <w:szCs w:val="22"/>
        </w:rPr>
      </w:pPr>
      <w:r>
        <w:rPr>
          <w:rStyle w:val="q-num1"/>
          <w:rFonts w:ascii="Calibri" w:hAnsi="Calibri" w:cs="Calibri"/>
          <w:b/>
          <w:bCs/>
          <w:sz w:val="22"/>
          <w:szCs w:val="22"/>
        </w:rPr>
        <w:t>[13]</w:t>
      </w:r>
      <w:r>
        <w:rPr>
          <w:rFonts w:ascii="Calibri" w:hAnsi="Calibri" w:cs="Calibri"/>
          <w:color w:val="000000"/>
          <w:sz w:val="22"/>
          <w:szCs w:val="22"/>
        </w:rPr>
        <w:t xml:space="preserve"> If </w:t>
      </w:r>
      <w:proofErr w:type="gramStart"/>
      <w:r>
        <w:rPr>
          <w:rFonts w:ascii="Calibri" w:hAnsi="Calibri" w:cs="Calibri"/>
          <w:color w:val="000000"/>
          <w:sz w:val="22"/>
          <w:szCs w:val="22"/>
        </w:rPr>
        <w:t>an</w:t>
      </w:r>
      <w:proofErr w:type="gramEnd"/>
      <w:r>
        <w:rPr>
          <w:rFonts w:ascii="Calibri" w:hAnsi="Calibri" w:cs="Calibri"/>
          <w:color w:val="000000"/>
          <w:sz w:val="22"/>
          <w:szCs w:val="22"/>
        </w:rPr>
        <w:t xml:space="preserve"> </w:t>
      </w:r>
      <w:r w:rsidR="00E366AD">
        <w:rPr>
          <w:rFonts w:ascii="Calibri" w:hAnsi="Calibri" w:cs="Calibri"/>
          <w:color w:val="000000"/>
          <w:sz w:val="22"/>
          <w:szCs w:val="22"/>
        </w:rPr>
        <w:t>Respondent</w:t>
      </w:r>
      <w:r>
        <w:rPr>
          <w:rFonts w:ascii="Calibri" w:hAnsi="Calibri" w:cs="Calibri"/>
          <w:color w:val="000000"/>
          <w:sz w:val="22"/>
          <w:szCs w:val="22"/>
        </w:rPr>
        <w:t xml:space="preserve"> provides at least the required 50% outside cost share, may Government funding cover the remaining eligible project costs?</w:t>
      </w:r>
    </w:p>
    <w:p w14:paraId="0CD105AB" w14:textId="165C872A" w:rsidR="005F139E" w:rsidRDefault="00D52751">
      <w:pPr>
        <w:pStyle w:val="a-text"/>
        <w:spacing w:after="60" w:afterAutospacing="0"/>
        <w:divId w:val="232160655"/>
        <w:rPr>
          <w:rFonts w:ascii="Calibri" w:hAnsi="Calibri" w:cs="Calibri"/>
          <w:color w:val="000000"/>
          <w:sz w:val="22"/>
          <w:szCs w:val="22"/>
        </w:rPr>
      </w:pPr>
      <w:r>
        <w:rPr>
          <w:rFonts w:ascii="Calibri" w:hAnsi="Calibri" w:cs="Calibri"/>
          <w:color w:val="000000"/>
          <w:sz w:val="22"/>
          <w:szCs w:val="22"/>
        </w:rPr>
        <w:t>The</w:t>
      </w:r>
      <w:r w:rsidR="00FE120D">
        <w:rPr>
          <w:rFonts w:ascii="Calibri" w:hAnsi="Calibri" w:cs="Calibri"/>
          <w:color w:val="000000"/>
          <w:sz w:val="22"/>
          <w:szCs w:val="22"/>
        </w:rPr>
        <w:t xml:space="preserve"> Government will not cover project costs above the 50% cost share.</w:t>
      </w:r>
    </w:p>
    <w:p w14:paraId="49D31F5A" w14:textId="77777777" w:rsidR="005F139E" w:rsidRDefault="00FE120D">
      <w:pPr>
        <w:pStyle w:val="q-text"/>
        <w:spacing w:before="60" w:beforeAutospacing="0"/>
        <w:divId w:val="177089009"/>
        <w:rPr>
          <w:rFonts w:ascii="Calibri" w:hAnsi="Calibri" w:cs="Calibri"/>
          <w:color w:val="000000"/>
          <w:sz w:val="22"/>
          <w:szCs w:val="22"/>
        </w:rPr>
      </w:pPr>
      <w:r>
        <w:rPr>
          <w:rStyle w:val="q-num1"/>
          <w:rFonts w:ascii="Calibri" w:hAnsi="Calibri" w:cs="Calibri"/>
          <w:b/>
          <w:bCs/>
          <w:sz w:val="22"/>
          <w:szCs w:val="22"/>
        </w:rPr>
        <w:t>[14]</w:t>
      </w:r>
      <w:r>
        <w:rPr>
          <w:rFonts w:ascii="Calibri" w:hAnsi="Calibri" w:cs="Calibri"/>
          <w:color w:val="000000"/>
          <w:sz w:val="22"/>
          <w:szCs w:val="22"/>
        </w:rPr>
        <w:t xml:space="preserve"> Must the 50% cost-share ratio be maintained at each phase/invoice, or satisfied cumulatively?</w:t>
      </w:r>
    </w:p>
    <w:p w14:paraId="43669C4F" w14:textId="59F4A464" w:rsidR="005F139E" w:rsidRDefault="00FE120D">
      <w:pPr>
        <w:pStyle w:val="a-text"/>
        <w:spacing w:after="60" w:afterAutospacing="0"/>
        <w:divId w:val="177089009"/>
        <w:rPr>
          <w:rFonts w:ascii="Calibri" w:hAnsi="Calibri" w:cs="Calibri"/>
          <w:color w:val="000000"/>
          <w:sz w:val="22"/>
          <w:szCs w:val="22"/>
        </w:rPr>
      </w:pPr>
      <w:r>
        <w:rPr>
          <w:rFonts w:ascii="Calibri" w:hAnsi="Calibri" w:cs="Calibri"/>
          <w:color w:val="000000"/>
          <w:sz w:val="22"/>
          <w:szCs w:val="22"/>
        </w:rPr>
        <w:t>Cost share expenditure rate depends on the type of cost share proposed (flat 50%, specific cost elements, in-kind, etc.). Cost share should be invoiced as it is incurred.</w:t>
      </w:r>
    </w:p>
    <w:p w14:paraId="528749A8" w14:textId="77777777" w:rsidR="005F139E" w:rsidRDefault="00FE120D">
      <w:pPr>
        <w:pStyle w:val="q-text"/>
        <w:spacing w:before="60" w:beforeAutospacing="0"/>
        <w:divId w:val="587272189"/>
        <w:rPr>
          <w:rFonts w:ascii="Calibri" w:hAnsi="Calibri" w:cs="Calibri"/>
          <w:color w:val="000000"/>
          <w:sz w:val="22"/>
          <w:szCs w:val="22"/>
        </w:rPr>
      </w:pPr>
      <w:r>
        <w:rPr>
          <w:rStyle w:val="q-num1"/>
          <w:rFonts w:ascii="Calibri" w:hAnsi="Calibri" w:cs="Calibri"/>
          <w:b/>
          <w:bCs/>
          <w:sz w:val="22"/>
          <w:szCs w:val="22"/>
        </w:rPr>
        <w:t>[15]</w:t>
      </w:r>
      <w:r>
        <w:rPr>
          <w:rFonts w:ascii="Calibri" w:hAnsi="Calibri" w:cs="Calibri"/>
          <w:color w:val="000000"/>
          <w:sz w:val="22"/>
          <w:szCs w:val="22"/>
        </w:rPr>
        <w:t xml:space="preserve"> Can the government define what </w:t>
      </w:r>
      <w:proofErr w:type="gramStart"/>
      <w:r>
        <w:rPr>
          <w:rFonts w:ascii="Calibri" w:hAnsi="Calibri" w:cs="Calibri"/>
          <w:color w:val="000000"/>
          <w:sz w:val="22"/>
          <w:szCs w:val="22"/>
        </w:rPr>
        <w:t>is an indirect cost</w:t>
      </w:r>
      <w:proofErr w:type="gramEnd"/>
      <w:r>
        <w:rPr>
          <w:rFonts w:ascii="Calibri" w:hAnsi="Calibri" w:cs="Calibri"/>
          <w:color w:val="000000"/>
          <w:sz w:val="22"/>
          <w:szCs w:val="22"/>
        </w:rPr>
        <w:t>?</w:t>
      </w:r>
    </w:p>
    <w:p w14:paraId="2B218C65" w14:textId="3119B9EA" w:rsidR="005F139E" w:rsidRDefault="00FE120D">
      <w:pPr>
        <w:pStyle w:val="a-text"/>
        <w:spacing w:after="60" w:afterAutospacing="0"/>
        <w:divId w:val="587272189"/>
        <w:rPr>
          <w:rFonts w:ascii="Calibri" w:hAnsi="Calibri" w:cs="Calibri"/>
          <w:color w:val="000000"/>
          <w:sz w:val="22"/>
          <w:szCs w:val="22"/>
        </w:rPr>
      </w:pPr>
      <w:r>
        <w:rPr>
          <w:rFonts w:ascii="Calibri" w:hAnsi="Calibri" w:cs="Calibri"/>
          <w:color w:val="000000"/>
          <w:sz w:val="22"/>
          <w:szCs w:val="22"/>
        </w:rPr>
        <w:t>Indirect costs are costs that support overall company operations as opposed to a direct project cost.</w:t>
      </w:r>
    </w:p>
    <w:p w14:paraId="4113DAC7" w14:textId="77777777" w:rsidR="005F139E" w:rsidRDefault="00FE120D">
      <w:pPr>
        <w:pStyle w:val="q-text"/>
        <w:spacing w:before="60" w:beforeAutospacing="0"/>
        <w:divId w:val="1771732795"/>
        <w:rPr>
          <w:rFonts w:ascii="Calibri" w:hAnsi="Calibri" w:cs="Calibri"/>
          <w:color w:val="000000"/>
          <w:sz w:val="22"/>
          <w:szCs w:val="22"/>
        </w:rPr>
      </w:pPr>
      <w:r>
        <w:rPr>
          <w:rStyle w:val="q-num1"/>
          <w:rFonts w:ascii="Calibri" w:hAnsi="Calibri" w:cs="Calibri"/>
          <w:b/>
          <w:bCs/>
          <w:sz w:val="22"/>
          <w:szCs w:val="22"/>
        </w:rPr>
        <w:t>[16]</w:t>
      </w:r>
      <w:r>
        <w:rPr>
          <w:rFonts w:ascii="Calibri" w:hAnsi="Calibri" w:cs="Calibri"/>
          <w:color w:val="000000"/>
          <w:sz w:val="22"/>
          <w:szCs w:val="22"/>
        </w:rPr>
        <w:t xml:space="preserve"> Can eligible direct and indirect project costs — including labor, utilities, maintenance, consumables, facility use, allocated overhead, and upgrades to existing lines — count toward cost share?</w:t>
      </w:r>
    </w:p>
    <w:p w14:paraId="31BCE733" w14:textId="276C7849" w:rsidR="005F139E" w:rsidRDefault="00FE120D">
      <w:pPr>
        <w:pStyle w:val="a-text"/>
        <w:spacing w:after="60" w:afterAutospacing="0"/>
        <w:divId w:val="1771732795"/>
        <w:rPr>
          <w:rFonts w:ascii="Calibri" w:hAnsi="Calibri" w:cs="Calibri"/>
          <w:color w:val="000000"/>
          <w:sz w:val="22"/>
          <w:szCs w:val="22"/>
        </w:rPr>
      </w:pPr>
      <w:r>
        <w:rPr>
          <w:rFonts w:ascii="Calibri" w:hAnsi="Calibri" w:cs="Calibri"/>
          <w:color w:val="000000"/>
          <w:sz w:val="22"/>
          <w:szCs w:val="22"/>
        </w:rPr>
        <w:t>Yes, direct and indirect project costs can be covered through cost share.</w:t>
      </w:r>
    </w:p>
    <w:p w14:paraId="36FE6060" w14:textId="77777777" w:rsidR="005F139E" w:rsidRDefault="00FE120D">
      <w:pPr>
        <w:pStyle w:val="q-text"/>
        <w:spacing w:before="60" w:beforeAutospacing="0"/>
        <w:divId w:val="554435122"/>
        <w:rPr>
          <w:rFonts w:ascii="Calibri" w:hAnsi="Calibri" w:cs="Calibri"/>
          <w:color w:val="000000"/>
          <w:sz w:val="22"/>
          <w:szCs w:val="22"/>
        </w:rPr>
      </w:pPr>
      <w:r>
        <w:rPr>
          <w:rStyle w:val="q-num1"/>
          <w:rFonts w:ascii="Calibri" w:hAnsi="Calibri" w:cs="Calibri"/>
          <w:b/>
          <w:bCs/>
          <w:sz w:val="22"/>
          <w:szCs w:val="22"/>
        </w:rPr>
        <w:t>[17]</w:t>
      </w:r>
      <w:r>
        <w:rPr>
          <w:rFonts w:ascii="Calibri" w:hAnsi="Calibri" w:cs="Calibri"/>
          <w:color w:val="000000"/>
          <w:sz w:val="22"/>
          <w:szCs w:val="22"/>
        </w:rPr>
        <w:t xml:space="preserve"> Can maintenance, repair, utilities, labor, insurance, and other sustainment costs incurred during the 10-year commitment count toward cost share?</w:t>
      </w:r>
    </w:p>
    <w:p w14:paraId="57C41C57" w14:textId="3AF6CFAD" w:rsidR="005F139E" w:rsidRDefault="00FE120D">
      <w:pPr>
        <w:pStyle w:val="a-text"/>
        <w:spacing w:after="60" w:afterAutospacing="0"/>
        <w:divId w:val="554435122"/>
        <w:rPr>
          <w:rFonts w:ascii="Calibri" w:hAnsi="Calibri" w:cs="Calibri"/>
          <w:color w:val="000000"/>
          <w:sz w:val="22"/>
          <w:szCs w:val="22"/>
        </w:rPr>
      </w:pPr>
      <w:r>
        <w:rPr>
          <w:rFonts w:ascii="Calibri" w:hAnsi="Calibri" w:cs="Calibri"/>
          <w:color w:val="000000"/>
          <w:sz w:val="22"/>
          <w:szCs w:val="22"/>
        </w:rPr>
        <w:t xml:space="preserve">Long-term maintenance, utilities, or operational costs incurred during the 10-year post-performance commitment period cannot count toward the active project cost-share. </w:t>
      </w:r>
    </w:p>
    <w:p w14:paraId="19800ACD" w14:textId="77777777" w:rsidR="005F139E" w:rsidRDefault="00FE120D">
      <w:pPr>
        <w:pStyle w:val="q-text"/>
        <w:spacing w:before="60" w:beforeAutospacing="0"/>
        <w:divId w:val="1365330458"/>
        <w:rPr>
          <w:rFonts w:ascii="Calibri" w:hAnsi="Calibri" w:cs="Calibri"/>
          <w:color w:val="000000"/>
          <w:sz w:val="22"/>
          <w:szCs w:val="22"/>
        </w:rPr>
      </w:pPr>
      <w:r>
        <w:rPr>
          <w:rStyle w:val="q-num1"/>
          <w:rFonts w:ascii="Calibri" w:hAnsi="Calibri" w:cs="Calibri"/>
          <w:b/>
          <w:bCs/>
          <w:sz w:val="22"/>
          <w:szCs w:val="22"/>
        </w:rPr>
        <w:t>[18]</w:t>
      </w:r>
      <w:r>
        <w:rPr>
          <w:rFonts w:ascii="Calibri" w:hAnsi="Calibri" w:cs="Calibri"/>
          <w:color w:val="000000"/>
          <w:sz w:val="22"/>
          <w:szCs w:val="22"/>
        </w:rPr>
        <w:t xml:space="preserve"> Must all cost-share sources/values be finalized at proposal submission, or may they be refined during negotiations?</w:t>
      </w:r>
    </w:p>
    <w:p w14:paraId="602B221A" w14:textId="2DD21FE3" w:rsidR="005F139E" w:rsidRDefault="00FE120D">
      <w:pPr>
        <w:pStyle w:val="a-text"/>
        <w:spacing w:after="60" w:afterAutospacing="0"/>
        <w:divId w:val="1365330458"/>
        <w:rPr>
          <w:rFonts w:ascii="Calibri" w:hAnsi="Calibri" w:cs="Calibri"/>
          <w:color w:val="000000"/>
          <w:sz w:val="22"/>
          <w:szCs w:val="22"/>
        </w:rPr>
      </w:pPr>
      <w:r>
        <w:rPr>
          <w:rFonts w:ascii="Calibri" w:hAnsi="Calibri" w:cs="Calibri"/>
          <w:color w:val="000000"/>
          <w:sz w:val="22"/>
          <w:szCs w:val="22"/>
        </w:rPr>
        <w:t>Cost share should be represented as accurately as possible; however, if a project is cost-reimbursable with cost share, it is understandable if costs vary slightly since they are based on actuals incurred.</w:t>
      </w:r>
    </w:p>
    <w:p w14:paraId="71C83228" w14:textId="77777777" w:rsidR="005F139E" w:rsidRDefault="00FE120D">
      <w:pPr>
        <w:pStyle w:val="q-text"/>
        <w:spacing w:before="60" w:beforeAutospacing="0"/>
        <w:divId w:val="1909609870"/>
        <w:rPr>
          <w:rFonts w:ascii="Calibri" w:hAnsi="Calibri" w:cs="Calibri"/>
          <w:color w:val="000000"/>
          <w:sz w:val="22"/>
          <w:szCs w:val="22"/>
        </w:rPr>
      </w:pPr>
      <w:r>
        <w:rPr>
          <w:rStyle w:val="q-num1"/>
          <w:rFonts w:ascii="Calibri" w:hAnsi="Calibri" w:cs="Calibri"/>
          <w:b/>
          <w:bCs/>
          <w:sz w:val="22"/>
          <w:szCs w:val="22"/>
        </w:rPr>
        <w:t>[19]</w:t>
      </w:r>
      <w:r>
        <w:rPr>
          <w:rFonts w:ascii="Calibri" w:hAnsi="Calibri" w:cs="Calibri"/>
          <w:color w:val="000000"/>
          <w:sz w:val="22"/>
          <w:szCs w:val="22"/>
        </w:rPr>
        <w:t xml:space="preserve"> If allowable project costs increase, how will BARDA address the increase? Would additional Government funding require a proportional cost-share increase?</w:t>
      </w:r>
    </w:p>
    <w:p w14:paraId="28392C42" w14:textId="33F186F7" w:rsidR="005F139E" w:rsidRPr="0055455A" w:rsidRDefault="00FE120D" w:rsidP="00950226">
      <w:pPr>
        <w:pStyle w:val="a-text"/>
        <w:spacing w:after="60" w:afterAutospacing="0"/>
        <w:divId w:val="1909609870"/>
        <w:rPr>
          <w:rFonts w:ascii="Calibri" w:hAnsi="Calibri" w:cs="Calibri"/>
          <w:strike/>
          <w:color w:val="000000"/>
          <w:sz w:val="22"/>
          <w:szCs w:val="22"/>
        </w:rPr>
      </w:pPr>
      <w:r>
        <w:rPr>
          <w:rFonts w:ascii="Calibri" w:hAnsi="Calibri" w:cs="Calibri"/>
          <w:color w:val="000000"/>
          <w:sz w:val="22"/>
          <w:szCs w:val="22"/>
        </w:rPr>
        <w:t xml:space="preserve">Project awards will not be expanded to accommodate cost </w:t>
      </w:r>
      <w:r w:rsidR="006978F4">
        <w:rPr>
          <w:rFonts w:ascii="Calibri" w:hAnsi="Calibri" w:cs="Calibri"/>
          <w:color w:val="000000"/>
          <w:sz w:val="22"/>
          <w:szCs w:val="22"/>
        </w:rPr>
        <w:t>increases</w:t>
      </w:r>
      <w:r>
        <w:rPr>
          <w:rFonts w:ascii="Calibri" w:hAnsi="Calibri" w:cs="Calibri"/>
          <w:color w:val="000000"/>
          <w:sz w:val="22"/>
          <w:szCs w:val="22"/>
        </w:rPr>
        <w:t xml:space="preserve">. </w:t>
      </w:r>
    </w:p>
    <w:p w14:paraId="3463A00B" w14:textId="7EB51A68" w:rsidR="005F139E" w:rsidRDefault="00FE120D">
      <w:pPr>
        <w:pStyle w:val="q-text"/>
        <w:spacing w:before="60" w:beforeAutospacing="0"/>
        <w:divId w:val="1545947201"/>
        <w:rPr>
          <w:rFonts w:ascii="Calibri" w:hAnsi="Calibri" w:cs="Calibri"/>
          <w:color w:val="000000"/>
          <w:sz w:val="22"/>
          <w:szCs w:val="22"/>
        </w:rPr>
      </w:pPr>
      <w:r>
        <w:rPr>
          <w:rStyle w:val="q-num1"/>
          <w:rFonts w:ascii="Calibri" w:hAnsi="Calibri" w:cs="Calibri"/>
          <w:b/>
          <w:bCs/>
          <w:sz w:val="22"/>
          <w:szCs w:val="22"/>
        </w:rPr>
        <w:lastRenderedPageBreak/>
        <w:t>[38]</w:t>
      </w:r>
      <w:r>
        <w:rPr>
          <w:rFonts w:ascii="Calibri" w:hAnsi="Calibri" w:cs="Calibri"/>
          <w:color w:val="000000"/>
          <w:sz w:val="22"/>
          <w:szCs w:val="22"/>
        </w:rPr>
        <w:t xml:space="preserve"> May the </w:t>
      </w:r>
      <w:r w:rsidR="00E366AD">
        <w:rPr>
          <w:rFonts w:ascii="Calibri" w:hAnsi="Calibri" w:cs="Calibri"/>
          <w:color w:val="000000"/>
          <w:sz w:val="22"/>
          <w:szCs w:val="22"/>
        </w:rPr>
        <w:t>Respondent</w:t>
      </w:r>
      <w:r>
        <w:rPr>
          <w:rFonts w:ascii="Calibri" w:hAnsi="Calibri" w:cs="Calibri"/>
          <w:color w:val="000000"/>
          <w:sz w:val="22"/>
          <w:szCs w:val="22"/>
        </w:rPr>
        <w:t xml:space="preserve"> allocate Government funding to specific, identifiable assets?</w:t>
      </w:r>
    </w:p>
    <w:p w14:paraId="6CFF8515" w14:textId="0475D5D6" w:rsidR="005F139E" w:rsidRDefault="00FE120D">
      <w:pPr>
        <w:pStyle w:val="a-text"/>
        <w:spacing w:after="60" w:afterAutospacing="0"/>
        <w:divId w:val="1545947201"/>
        <w:rPr>
          <w:rFonts w:ascii="Calibri" w:hAnsi="Calibri" w:cs="Calibri"/>
          <w:color w:val="000000"/>
          <w:sz w:val="22"/>
          <w:szCs w:val="22"/>
        </w:rPr>
      </w:pPr>
      <w:r>
        <w:rPr>
          <w:rFonts w:ascii="Calibri" w:hAnsi="Calibri" w:cs="Calibri"/>
          <w:color w:val="000000"/>
          <w:sz w:val="22"/>
          <w:szCs w:val="22"/>
        </w:rPr>
        <w:t xml:space="preserve"> The </w:t>
      </w:r>
      <w:r w:rsidR="00E366AD">
        <w:rPr>
          <w:rFonts w:ascii="Calibri" w:hAnsi="Calibri" w:cs="Calibri"/>
          <w:color w:val="000000"/>
          <w:sz w:val="22"/>
          <w:szCs w:val="22"/>
        </w:rPr>
        <w:t>Respondent</w:t>
      </w:r>
      <w:r>
        <w:rPr>
          <w:rFonts w:ascii="Calibri" w:hAnsi="Calibri" w:cs="Calibri"/>
          <w:color w:val="000000"/>
          <w:sz w:val="22"/>
          <w:szCs w:val="22"/>
        </w:rPr>
        <w:t xml:space="preserve"> may allocate the Cost Share portion to specific identifiable cost elements or assets.</w:t>
      </w:r>
    </w:p>
    <w:p w14:paraId="21A17496" w14:textId="77777777" w:rsidR="005F139E" w:rsidRDefault="00FE120D">
      <w:pPr>
        <w:pStyle w:val="q-text"/>
        <w:spacing w:before="60" w:beforeAutospacing="0"/>
        <w:divId w:val="203835742"/>
        <w:rPr>
          <w:rFonts w:ascii="Calibri" w:hAnsi="Calibri" w:cs="Calibri"/>
          <w:color w:val="000000"/>
          <w:sz w:val="22"/>
          <w:szCs w:val="22"/>
        </w:rPr>
      </w:pPr>
      <w:r>
        <w:rPr>
          <w:rStyle w:val="q-num1"/>
          <w:rFonts w:ascii="Calibri" w:hAnsi="Calibri" w:cs="Calibri"/>
          <w:b/>
          <w:bCs/>
          <w:sz w:val="22"/>
          <w:szCs w:val="22"/>
        </w:rPr>
        <w:t>[47]</w:t>
      </w:r>
      <w:r>
        <w:rPr>
          <w:rFonts w:ascii="Calibri" w:hAnsi="Calibri" w:cs="Calibri"/>
          <w:color w:val="000000"/>
          <w:sz w:val="22"/>
          <w:szCs w:val="22"/>
        </w:rPr>
        <w:t xml:space="preserve"> May cost share be satisfied with project expenditures funded by equity capital raised concurrently with or following award?</w:t>
      </w:r>
    </w:p>
    <w:p w14:paraId="4A025F01" w14:textId="76A5260D" w:rsidR="005F139E" w:rsidRPr="0055455A" w:rsidRDefault="00FE120D" w:rsidP="00950226">
      <w:pPr>
        <w:pStyle w:val="a-text"/>
        <w:spacing w:after="60" w:afterAutospacing="0"/>
        <w:divId w:val="203835742"/>
        <w:rPr>
          <w:rFonts w:ascii="Calibri" w:hAnsi="Calibri" w:cs="Calibri"/>
          <w:strike/>
          <w:color w:val="000000"/>
          <w:sz w:val="22"/>
          <w:szCs w:val="22"/>
        </w:rPr>
      </w:pPr>
      <w:r w:rsidRPr="001C1E4A">
        <w:rPr>
          <w:rFonts w:ascii="Calibri" w:hAnsi="Calibri" w:cs="Calibri"/>
          <w:color w:val="000000"/>
          <w:sz w:val="22"/>
          <w:szCs w:val="22"/>
        </w:rPr>
        <w:t>The timing and availability of these funds over the period of performance must be outlined in a full Capitalization Plan.</w:t>
      </w:r>
    </w:p>
    <w:p w14:paraId="58039243" w14:textId="77777777" w:rsidR="005F139E" w:rsidRDefault="00FE120D">
      <w:pPr>
        <w:pStyle w:val="q-text"/>
        <w:spacing w:before="60" w:beforeAutospacing="0"/>
        <w:divId w:val="1214267700"/>
        <w:rPr>
          <w:rFonts w:ascii="Calibri" w:hAnsi="Calibri" w:cs="Calibri"/>
          <w:color w:val="000000"/>
          <w:sz w:val="22"/>
          <w:szCs w:val="22"/>
        </w:rPr>
      </w:pPr>
      <w:r>
        <w:rPr>
          <w:rStyle w:val="q-num1"/>
          <w:rFonts w:ascii="Calibri" w:hAnsi="Calibri" w:cs="Calibri"/>
          <w:b/>
          <w:bCs/>
          <w:sz w:val="22"/>
          <w:szCs w:val="22"/>
        </w:rPr>
        <w:t>[48]</w:t>
      </w:r>
      <w:r>
        <w:rPr>
          <w:rFonts w:ascii="Calibri" w:hAnsi="Calibri" w:cs="Calibri"/>
          <w:color w:val="000000"/>
          <w:sz w:val="22"/>
          <w:szCs w:val="22"/>
        </w:rPr>
        <w:t xml:space="preserve"> May cost share be satisfied with proceeds of non-federal debt financing?</w:t>
      </w:r>
    </w:p>
    <w:p w14:paraId="1C0EF992" w14:textId="04D78497" w:rsidR="005F139E" w:rsidRPr="0055455A" w:rsidRDefault="00FE120D" w:rsidP="00950226">
      <w:pPr>
        <w:pStyle w:val="a-text"/>
        <w:spacing w:after="60" w:afterAutospacing="0"/>
        <w:divId w:val="1214267700"/>
        <w:rPr>
          <w:rFonts w:ascii="Calibri" w:hAnsi="Calibri" w:cs="Calibri"/>
          <w:strike/>
          <w:color w:val="000000"/>
          <w:sz w:val="22"/>
          <w:szCs w:val="22"/>
        </w:rPr>
      </w:pPr>
      <w:r>
        <w:rPr>
          <w:rFonts w:ascii="Calibri" w:hAnsi="Calibri" w:cs="Calibri"/>
          <w:color w:val="000000"/>
          <w:sz w:val="22"/>
          <w:szCs w:val="22"/>
        </w:rPr>
        <w:t xml:space="preserve">Non-federal debt financing is acceptable under the definition of resources sourced by the Performer from sources other than ASPR. </w:t>
      </w:r>
    </w:p>
    <w:p w14:paraId="058918BB" w14:textId="77777777" w:rsidR="005F139E" w:rsidRDefault="00FE120D">
      <w:pPr>
        <w:pStyle w:val="q-text"/>
        <w:spacing w:before="60" w:beforeAutospacing="0"/>
        <w:divId w:val="2087026615"/>
        <w:rPr>
          <w:rFonts w:ascii="Calibri" w:hAnsi="Calibri" w:cs="Calibri"/>
          <w:color w:val="000000"/>
          <w:sz w:val="22"/>
          <w:szCs w:val="22"/>
        </w:rPr>
      </w:pPr>
      <w:r>
        <w:rPr>
          <w:rStyle w:val="q-num1"/>
          <w:rFonts w:ascii="Calibri" w:hAnsi="Calibri" w:cs="Calibri"/>
          <w:b/>
          <w:bCs/>
          <w:sz w:val="22"/>
          <w:szCs w:val="22"/>
        </w:rPr>
        <w:t>[49]</w:t>
      </w:r>
      <w:r>
        <w:rPr>
          <w:rFonts w:ascii="Calibri" w:hAnsi="Calibri" w:cs="Calibri"/>
          <w:color w:val="000000"/>
          <w:sz w:val="22"/>
          <w:szCs w:val="22"/>
        </w:rPr>
        <w:t xml:space="preserve"> What documentation standard applies at proposal submission for cost-share sources that are committed but not yet closed?</w:t>
      </w:r>
    </w:p>
    <w:p w14:paraId="269C620F" w14:textId="0B5EFE3E" w:rsidR="002169EC" w:rsidRDefault="006107D6" w:rsidP="00E54BE7">
      <w:pPr>
        <w:pStyle w:val="a-text"/>
        <w:spacing w:after="60" w:afterAutospacing="0"/>
        <w:divId w:val="843980308"/>
        <w:rPr>
          <w:rFonts w:ascii="Calibri" w:hAnsi="Calibri" w:cs="Calibri"/>
          <w:color w:val="000000"/>
          <w:sz w:val="22"/>
          <w:szCs w:val="22"/>
        </w:rPr>
      </w:pPr>
      <w:r w:rsidRPr="008857BC">
        <w:rPr>
          <w:rFonts w:ascii="Calibri" w:hAnsi="Calibri" w:cs="Calibri"/>
          <w:color w:val="000000"/>
          <w:sz w:val="22"/>
          <w:szCs w:val="22"/>
        </w:rPr>
        <w:t>In accordance with RPP Attachment A Section 2.1.2.10,</w:t>
      </w:r>
      <w:r w:rsidR="00FE120D" w:rsidRPr="008857BC">
        <w:rPr>
          <w:rFonts w:ascii="Calibri" w:hAnsi="Calibri" w:cs="Calibri"/>
          <w:color w:val="000000"/>
          <w:sz w:val="22"/>
          <w:szCs w:val="22"/>
        </w:rPr>
        <w:t xml:space="preserve"> Performers must provide a full Capitalization Plan </w:t>
      </w:r>
      <w:r w:rsidR="00E54BE7" w:rsidRPr="008857BC">
        <w:rPr>
          <w:rFonts w:ascii="Calibri" w:hAnsi="Calibri" w:cs="Calibri"/>
          <w:color w:val="000000"/>
          <w:sz w:val="22"/>
          <w:szCs w:val="22"/>
        </w:rPr>
        <w:t>that identifies all proposed cost share contributions, including</w:t>
      </w:r>
      <w:r w:rsidR="00E54BE7" w:rsidRPr="00E54BE7">
        <w:rPr>
          <w:rFonts w:ascii="Calibri" w:hAnsi="Calibri" w:cs="Calibri"/>
          <w:color w:val="000000"/>
          <w:sz w:val="22"/>
          <w:szCs w:val="22"/>
        </w:rPr>
        <w:t xml:space="preserve"> the total amount, the specific sources of funding (e.g., corporate funds, third-party contributions, or non-federal governmental support), and the timing and availability of funds over the period of performance. Performers must provide supporting documentation (e.g., letters of commitment or financial statements)</w:t>
      </w:r>
      <w:r w:rsidR="00AE0407">
        <w:rPr>
          <w:rFonts w:ascii="Calibri" w:hAnsi="Calibri" w:cs="Calibri"/>
          <w:color w:val="000000"/>
          <w:sz w:val="22"/>
          <w:szCs w:val="22"/>
        </w:rPr>
        <w:t>,</w:t>
      </w:r>
      <w:r w:rsidR="00E54BE7" w:rsidRPr="00E54BE7">
        <w:rPr>
          <w:rFonts w:ascii="Calibri" w:hAnsi="Calibri" w:cs="Calibri"/>
          <w:color w:val="000000"/>
          <w:sz w:val="22"/>
          <w:szCs w:val="22"/>
        </w:rPr>
        <w:t xml:space="preserve"> as appropriate. </w:t>
      </w:r>
    </w:p>
    <w:p w14:paraId="0C9E7B66" w14:textId="77777777" w:rsidR="002169EC" w:rsidRDefault="002169EC" w:rsidP="00E54BE7">
      <w:pPr>
        <w:pStyle w:val="a-text"/>
        <w:spacing w:after="60" w:afterAutospacing="0"/>
        <w:divId w:val="843980308"/>
        <w:rPr>
          <w:rFonts w:ascii="Calibri" w:hAnsi="Calibri" w:cs="Calibri"/>
          <w:color w:val="000000"/>
          <w:sz w:val="22"/>
          <w:szCs w:val="22"/>
        </w:rPr>
      </w:pPr>
    </w:p>
    <w:p w14:paraId="79C57151" w14:textId="586A99E3" w:rsidR="005F139E" w:rsidRPr="002169EC" w:rsidRDefault="00FE120D" w:rsidP="002169EC">
      <w:pPr>
        <w:pStyle w:val="a-text"/>
        <w:spacing w:after="60" w:afterAutospacing="0"/>
        <w:ind w:left="0"/>
        <w:divId w:val="843980308"/>
        <w:rPr>
          <w:rFonts w:ascii="Calibri" w:hAnsi="Calibri" w:cs="Calibri"/>
          <w:b/>
          <w:bCs/>
          <w:color w:val="000000"/>
          <w:sz w:val="22"/>
          <w:szCs w:val="22"/>
        </w:rPr>
      </w:pPr>
      <w:r>
        <w:rPr>
          <w:rStyle w:val="q-num1"/>
          <w:rFonts w:ascii="Calibri" w:hAnsi="Calibri" w:cs="Calibri"/>
          <w:sz w:val="22"/>
          <w:szCs w:val="22"/>
        </w:rPr>
        <w:t>[50]</w:t>
      </w:r>
      <w:r>
        <w:rPr>
          <w:rFonts w:ascii="Calibri" w:hAnsi="Calibri" w:cs="Calibri"/>
          <w:color w:val="000000"/>
          <w:sz w:val="22"/>
          <w:szCs w:val="22"/>
        </w:rPr>
        <w:t xml:space="preserve"> </w:t>
      </w:r>
      <w:r w:rsidRPr="002169EC">
        <w:rPr>
          <w:rFonts w:ascii="Calibri" w:hAnsi="Calibri" w:cs="Calibri"/>
          <w:b/>
          <w:bCs/>
          <w:color w:val="000000"/>
          <w:sz w:val="22"/>
          <w:szCs w:val="22"/>
        </w:rPr>
        <w:t>Please confirm only pre-award costs are excluded from cost share, and pre-existing facilities/infrastructure may support the project without affecting eligibility.</w:t>
      </w:r>
    </w:p>
    <w:p w14:paraId="26992457" w14:textId="5B063EF7" w:rsidR="005F139E" w:rsidRPr="0055455A" w:rsidRDefault="004254B5" w:rsidP="00372D13">
      <w:pPr>
        <w:pStyle w:val="a-text"/>
        <w:spacing w:after="60" w:afterAutospacing="0"/>
        <w:divId w:val="843980308"/>
        <w:rPr>
          <w:rFonts w:ascii="Calibri" w:hAnsi="Calibri" w:cs="Calibri"/>
          <w:strike/>
          <w:color w:val="000000"/>
          <w:sz w:val="22"/>
          <w:szCs w:val="22"/>
        </w:rPr>
      </w:pPr>
      <w:r>
        <w:rPr>
          <w:rFonts w:ascii="Calibri" w:hAnsi="Calibri" w:cs="Calibri"/>
          <w:color w:val="000000"/>
          <w:sz w:val="22"/>
          <w:szCs w:val="22"/>
        </w:rPr>
        <w:t xml:space="preserve">In accordance with </w:t>
      </w:r>
      <w:r w:rsidR="004C2E9C">
        <w:rPr>
          <w:rFonts w:ascii="Calibri" w:hAnsi="Calibri" w:cs="Calibri"/>
          <w:color w:val="000000"/>
          <w:sz w:val="22"/>
          <w:szCs w:val="22"/>
        </w:rPr>
        <w:t xml:space="preserve">RPP </w:t>
      </w:r>
      <w:r w:rsidR="0025179B">
        <w:rPr>
          <w:rFonts w:ascii="Calibri" w:hAnsi="Calibri" w:cs="Calibri"/>
          <w:color w:val="000000"/>
          <w:sz w:val="22"/>
          <w:szCs w:val="22"/>
        </w:rPr>
        <w:t xml:space="preserve">Attachment A </w:t>
      </w:r>
      <w:r w:rsidR="00FE120D">
        <w:rPr>
          <w:rFonts w:ascii="Calibri" w:hAnsi="Calibri" w:cs="Calibri"/>
          <w:color w:val="000000"/>
          <w:sz w:val="22"/>
          <w:szCs w:val="22"/>
        </w:rPr>
        <w:t>Section 2.1.2.10</w:t>
      </w:r>
      <w:r w:rsidR="00E368E2">
        <w:rPr>
          <w:rFonts w:ascii="Calibri" w:hAnsi="Calibri" w:cs="Calibri"/>
          <w:color w:val="000000"/>
          <w:sz w:val="22"/>
          <w:szCs w:val="22"/>
        </w:rPr>
        <w:t xml:space="preserve">, </w:t>
      </w:r>
      <w:r w:rsidR="00FE120D">
        <w:rPr>
          <w:rFonts w:ascii="Calibri" w:hAnsi="Calibri" w:cs="Calibri"/>
          <w:color w:val="000000"/>
          <w:sz w:val="22"/>
          <w:szCs w:val="22"/>
        </w:rPr>
        <w:t xml:space="preserve"> </w:t>
      </w:r>
      <w:r w:rsidR="00E368E2">
        <w:rPr>
          <w:rFonts w:ascii="Calibri" w:hAnsi="Calibri" w:cs="Calibri"/>
          <w:color w:val="000000"/>
          <w:sz w:val="22"/>
          <w:szCs w:val="22"/>
        </w:rPr>
        <w:t>w</w:t>
      </w:r>
      <w:r w:rsidR="00E368E2" w:rsidRPr="00E368E2">
        <w:rPr>
          <w:rFonts w:ascii="Calibri" w:hAnsi="Calibri" w:cs="Calibri"/>
          <w:color w:val="000000"/>
          <w:sz w:val="22"/>
          <w:szCs w:val="22"/>
        </w:rPr>
        <w:t>ork, construction, tasks, etc. completed prior to award will not be considered as a portion of the Performer’s cost share for the proposed project. Performer’s proposed cost share must only apply to new efforts completed under this agreement.</w:t>
      </w:r>
      <w:r w:rsidR="0076138C">
        <w:rPr>
          <w:rFonts w:ascii="Calibri" w:hAnsi="Calibri" w:cs="Calibri"/>
          <w:color w:val="000000"/>
          <w:sz w:val="22"/>
          <w:szCs w:val="22"/>
        </w:rPr>
        <w:t xml:space="preserve"> </w:t>
      </w:r>
    </w:p>
    <w:p w14:paraId="5C13F771" w14:textId="77777777" w:rsidR="005F139E" w:rsidRDefault="00FE120D">
      <w:pPr>
        <w:pStyle w:val="q-text"/>
        <w:spacing w:before="60" w:beforeAutospacing="0"/>
        <w:divId w:val="38628274"/>
        <w:rPr>
          <w:rFonts w:ascii="Calibri" w:hAnsi="Calibri" w:cs="Calibri"/>
          <w:color w:val="000000"/>
          <w:sz w:val="22"/>
          <w:szCs w:val="22"/>
        </w:rPr>
      </w:pPr>
      <w:r>
        <w:rPr>
          <w:rStyle w:val="q-num1"/>
          <w:rFonts w:ascii="Calibri" w:hAnsi="Calibri" w:cs="Calibri"/>
          <w:b/>
          <w:bCs/>
          <w:sz w:val="22"/>
          <w:szCs w:val="22"/>
        </w:rPr>
        <w:t>[73]</w:t>
      </w:r>
      <w:r>
        <w:rPr>
          <w:rFonts w:ascii="Calibri" w:hAnsi="Calibri" w:cs="Calibri"/>
          <w:color w:val="000000"/>
          <w:sz w:val="22"/>
          <w:szCs w:val="22"/>
        </w:rPr>
        <w:t xml:space="preserve"> Where a Performer dedicates an existing facility/equipment to SOW performance, may the prorated in-kind value of that use during performance count as cost share?</w:t>
      </w:r>
    </w:p>
    <w:p w14:paraId="0508A217" w14:textId="6A4E798D" w:rsidR="005F139E" w:rsidRDefault="00FE120D">
      <w:pPr>
        <w:pStyle w:val="a-text"/>
        <w:spacing w:after="60" w:afterAutospacing="0"/>
        <w:divId w:val="38628274"/>
        <w:rPr>
          <w:rFonts w:ascii="Calibri" w:hAnsi="Calibri" w:cs="Calibri"/>
          <w:color w:val="000000"/>
          <w:sz w:val="22"/>
          <w:szCs w:val="22"/>
        </w:rPr>
      </w:pPr>
      <w:r>
        <w:rPr>
          <w:rFonts w:ascii="Calibri" w:hAnsi="Calibri" w:cs="Calibri"/>
          <w:color w:val="000000"/>
          <w:sz w:val="22"/>
          <w:szCs w:val="22"/>
        </w:rPr>
        <w:t xml:space="preserve"> The value for use of existing facility and/or equipment may be counted in-kind cost share.</w:t>
      </w:r>
    </w:p>
    <w:p w14:paraId="373EFF62" w14:textId="77777777" w:rsidR="005F139E" w:rsidRDefault="00FE120D">
      <w:pPr>
        <w:pStyle w:val="q-text"/>
        <w:spacing w:before="60" w:beforeAutospacing="0"/>
        <w:divId w:val="882523532"/>
        <w:rPr>
          <w:rFonts w:ascii="Calibri" w:hAnsi="Calibri" w:cs="Calibri"/>
          <w:color w:val="000000"/>
          <w:sz w:val="22"/>
          <w:szCs w:val="22"/>
        </w:rPr>
      </w:pPr>
      <w:r>
        <w:rPr>
          <w:rStyle w:val="q-num1"/>
          <w:rFonts w:ascii="Calibri" w:hAnsi="Calibri" w:cs="Calibri"/>
          <w:b/>
          <w:bCs/>
          <w:sz w:val="22"/>
          <w:szCs w:val="22"/>
        </w:rPr>
        <w:t>[97]</w:t>
      </w:r>
      <w:r>
        <w:rPr>
          <w:rFonts w:ascii="Calibri" w:hAnsi="Calibri" w:cs="Calibri"/>
          <w:color w:val="000000"/>
          <w:sz w:val="22"/>
          <w:szCs w:val="22"/>
        </w:rPr>
        <w:t xml:space="preserve"> Is documented actual acquisition cost (adjusted for present-day replacement value) an acceptable valuation technique for Performer-owned equipment? Does the three-quote requirement apply to valuing equipment already owned rather than new purchases?</w:t>
      </w:r>
    </w:p>
    <w:p w14:paraId="06D820D5" w14:textId="51EF2EF8" w:rsidR="005F139E" w:rsidRPr="0055455A" w:rsidRDefault="00FE120D" w:rsidP="00372D13">
      <w:pPr>
        <w:pStyle w:val="a-text"/>
        <w:spacing w:after="60" w:afterAutospacing="0"/>
        <w:divId w:val="882523532"/>
        <w:rPr>
          <w:rFonts w:ascii="Calibri" w:hAnsi="Calibri" w:cs="Calibri"/>
          <w:strike/>
          <w:color w:val="000000"/>
          <w:sz w:val="22"/>
          <w:szCs w:val="22"/>
        </w:rPr>
      </w:pPr>
      <w:r>
        <w:rPr>
          <w:rFonts w:ascii="Calibri" w:hAnsi="Calibri" w:cs="Calibri"/>
          <w:color w:val="000000"/>
          <w:sz w:val="22"/>
          <w:szCs w:val="22"/>
        </w:rPr>
        <w:t xml:space="preserve">Confirmed. </w:t>
      </w:r>
    </w:p>
    <w:p w14:paraId="2C7030C5" w14:textId="77777777" w:rsidR="005F139E" w:rsidRDefault="00FE120D">
      <w:pPr>
        <w:pStyle w:val="q-text"/>
        <w:spacing w:before="60" w:beforeAutospacing="0"/>
        <w:divId w:val="894706573"/>
        <w:rPr>
          <w:rFonts w:ascii="Calibri" w:hAnsi="Calibri" w:cs="Calibri"/>
          <w:color w:val="000000"/>
          <w:sz w:val="22"/>
          <w:szCs w:val="22"/>
        </w:rPr>
      </w:pPr>
      <w:r>
        <w:rPr>
          <w:rStyle w:val="q-num1"/>
          <w:rFonts w:ascii="Calibri" w:hAnsi="Calibri" w:cs="Calibri"/>
          <w:b/>
          <w:bCs/>
          <w:sz w:val="22"/>
          <w:szCs w:val="22"/>
        </w:rPr>
        <w:t>[100]</w:t>
      </w:r>
      <w:r>
        <w:rPr>
          <w:rFonts w:ascii="Calibri" w:hAnsi="Calibri" w:cs="Calibri"/>
          <w:color w:val="000000"/>
          <w:sz w:val="22"/>
          <w:szCs w:val="22"/>
        </w:rPr>
        <w:t xml:space="preserve"> Must non-federal cost share be expended proportionally alongside Government funds on each invoice, or can the profile be </w:t>
      </w:r>
      <w:proofErr w:type="gramStart"/>
      <w:r>
        <w:rPr>
          <w:rFonts w:ascii="Calibri" w:hAnsi="Calibri" w:cs="Calibri"/>
          <w:color w:val="000000"/>
          <w:sz w:val="22"/>
          <w:szCs w:val="22"/>
        </w:rPr>
        <w:t>weighted</w:t>
      </w:r>
      <w:proofErr w:type="gramEnd"/>
      <w:r>
        <w:rPr>
          <w:rFonts w:ascii="Calibri" w:hAnsi="Calibri" w:cs="Calibri"/>
          <w:color w:val="000000"/>
          <w:sz w:val="22"/>
          <w:szCs w:val="22"/>
        </w:rPr>
        <w:t xml:space="preserve"> differently if the minimum is met in the aggregate?</w:t>
      </w:r>
    </w:p>
    <w:p w14:paraId="670BC18B" w14:textId="0266CD89" w:rsidR="005F139E" w:rsidRDefault="00FE120D">
      <w:pPr>
        <w:pStyle w:val="a-text"/>
        <w:spacing w:after="60" w:afterAutospacing="0"/>
        <w:divId w:val="894706573"/>
        <w:rPr>
          <w:rFonts w:ascii="Calibri" w:hAnsi="Calibri" w:cs="Calibri"/>
          <w:color w:val="000000"/>
          <w:sz w:val="22"/>
          <w:szCs w:val="22"/>
        </w:rPr>
      </w:pPr>
      <w:r>
        <w:rPr>
          <w:rFonts w:ascii="Calibri" w:hAnsi="Calibri" w:cs="Calibri"/>
          <w:color w:val="000000"/>
          <w:sz w:val="22"/>
          <w:szCs w:val="22"/>
        </w:rPr>
        <w:t>Cost share expenditure rate is dependent upon the type of cost share proposed. Cost share should be invoiced as it is incurred.</w:t>
      </w:r>
    </w:p>
    <w:p w14:paraId="490CD261" w14:textId="77777777" w:rsidR="005F139E" w:rsidRDefault="00FE120D">
      <w:pPr>
        <w:pStyle w:val="q-text"/>
        <w:spacing w:before="60" w:beforeAutospacing="0"/>
        <w:divId w:val="1548176893"/>
        <w:rPr>
          <w:rFonts w:ascii="Calibri" w:hAnsi="Calibri" w:cs="Calibri"/>
          <w:color w:val="000000"/>
          <w:sz w:val="22"/>
          <w:szCs w:val="22"/>
        </w:rPr>
      </w:pPr>
      <w:r>
        <w:rPr>
          <w:rStyle w:val="q-num1"/>
          <w:rFonts w:ascii="Calibri" w:hAnsi="Calibri" w:cs="Calibri"/>
          <w:b/>
          <w:bCs/>
          <w:sz w:val="22"/>
          <w:szCs w:val="22"/>
        </w:rPr>
        <w:t>[106]</w:t>
      </w:r>
      <w:r>
        <w:rPr>
          <w:rFonts w:ascii="Calibri" w:hAnsi="Calibri" w:cs="Calibri"/>
          <w:color w:val="000000"/>
          <w:sz w:val="22"/>
          <w:szCs w:val="22"/>
        </w:rPr>
        <w:t xml:space="preserve"> Will the evaluation distinguish between cash and in-kind cost share, or between committed and prospective funding sources?</w:t>
      </w:r>
    </w:p>
    <w:p w14:paraId="0BEFA7C3" w14:textId="6B7BE75B" w:rsidR="005F139E" w:rsidRDefault="00FE120D">
      <w:pPr>
        <w:pStyle w:val="a-text"/>
        <w:spacing w:after="60" w:afterAutospacing="0"/>
        <w:divId w:val="1548176893"/>
        <w:rPr>
          <w:rFonts w:ascii="Calibri" w:hAnsi="Calibri" w:cs="Calibri"/>
          <w:color w:val="000000"/>
          <w:sz w:val="22"/>
          <w:szCs w:val="22"/>
        </w:rPr>
      </w:pPr>
      <w:r>
        <w:rPr>
          <w:rFonts w:ascii="Calibri" w:hAnsi="Calibri" w:cs="Calibri"/>
          <w:color w:val="000000"/>
          <w:sz w:val="22"/>
          <w:szCs w:val="22"/>
        </w:rPr>
        <w:t>Both forms of cost sharing are treated with equal credit, provided they directly support the new 500-</w:t>
      </w:r>
      <w:r w:rsidR="004732C2">
        <w:rPr>
          <w:rFonts w:ascii="Calibri" w:hAnsi="Calibri" w:cs="Calibri"/>
          <w:color w:val="000000"/>
          <w:sz w:val="22"/>
          <w:szCs w:val="22"/>
        </w:rPr>
        <w:t>million-glove</w:t>
      </w:r>
      <w:r>
        <w:rPr>
          <w:rFonts w:ascii="Calibri" w:hAnsi="Calibri" w:cs="Calibri"/>
          <w:color w:val="000000"/>
          <w:sz w:val="22"/>
          <w:szCs w:val="22"/>
        </w:rPr>
        <w:t xml:space="preserve"> capacity baseline and are executed within the active 24-month period of performance.</w:t>
      </w:r>
    </w:p>
    <w:p w14:paraId="04039320" w14:textId="77777777" w:rsidR="005F139E" w:rsidRDefault="00FE120D">
      <w:pPr>
        <w:pStyle w:val="q-text"/>
        <w:spacing w:before="60" w:beforeAutospacing="0"/>
        <w:divId w:val="2010980048"/>
        <w:rPr>
          <w:rFonts w:ascii="Calibri" w:hAnsi="Calibri" w:cs="Calibri"/>
          <w:color w:val="000000"/>
          <w:sz w:val="22"/>
          <w:szCs w:val="22"/>
        </w:rPr>
      </w:pPr>
      <w:r>
        <w:rPr>
          <w:rStyle w:val="q-num1"/>
          <w:rFonts w:ascii="Calibri" w:hAnsi="Calibri" w:cs="Calibri"/>
          <w:b/>
          <w:bCs/>
          <w:sz w:val="22"/>
          <w:szCs w:val="22"/>
        </w:rPr>
        <w:t>[107]</w:t>
      </w:r>
      <w:r>
        <w:rPr>
          <w:rFonts w:ascii="Calibri" w:hAnsi="Calibri" w:cs="Calibri"/>
          <w:color w:val="000000"/>
          <w:sz w:val="22"/>
          <w:szCs w:val="22"/>
        </w:rPr>
        <w:t xml:space="preserve"> Is any minimum proportion of the cost share expected to be cash?</w:t>
      </w:r>
    </w:p>
    <w:p w14:paraId="182FD758" w14:textId="21D178DD" w:rsidR="005F139E" w:rsidRDefault="00FE120D">
      <w:pPr>
        <w:pStyle w:val="a-text"/>
        <w:spacing w:after="60" w:afterAutospacing="0"/>
        <w:divId w:val="2010980048"/>
        <w:rPr>
          <w:rFonts w:ascii="Calibri" w:hAnsi="Calibri" w:cs="Calibri"/>
          <w:color w:val="000000"/>
          <w:sz w:val="22"/>
          <w:szCs w:val="22"/>
        </w:rPr>
      </w:pPr>
      <w:r>
        <w:rPr>
          <w:rFonts w:ascii="Calibri" w:hAnsi="Calibri" w:cs="Calibri"/>
          <w:color w:val="000000"/>
          <w:sz w:val="22"/>
          <w:szCs w:val="22"/>
        </w:rPr>
        <w:t>There is no minimum required proportion of the cost share that must be provided in cash.</w:t>
      </w:r>
    </w:p>
    <w:p w14:paraId="7E64FE97" w14:textId="77777777" w:rsidR="005F139E" w:rsidRDefault="00FE120D">
      <w:pPr>
        <w:pStyle w:val="q-text"/>
        <w:spacing w:before="60" w:beforeAutospacing="0"/>
        <w:divId w:val="494610595"/>
        <w:rPr>
          <w:rFonts w:ascii="Calibri" w:hAnsi="Calibri" w:cs="Calibri"/>
          <w:color w:val="000000"/>
          <w:sz w:val="22"/>
          <w:szCs w:val="22"/>
        </w:rPr>
      </w:pPr>
      <w:r>
        <w:rPr>
          <w:rStyle w:val="q-num1"/>
          <w:rFonts w:ascii="Calibri" w:hAnsi="Calibri" w:cs="Calibri"/>
          <w:b/>
          <w:bCs/>
          <w:sz w:val="22"/>
          <w:szCs w:val="22"/>
        </w:rPr>
        <w:t>[118]</w:t>
      </w:r>
      <w:r>
        <w:rPr>
          <w:rFonts w:ascii="Calibri" w:hAnsi="Calibri" w:cs="Calibri"/>
          <w:color w:val="000000"/>
          <w:sz w:val="22"/>
          <w:szCs w:val="22"/>
        </w:rPr>
        <w:t xml:space="preserve"> For each of the four payment methods, does the cost-share requirement apply, and is that method available? May a Fixed Price or </w:t>
      </w:r>
      <w:proofErr w:type="gramStart"/>
      <w:r>
        <w:rPr>
          <w:rFonts w:ascii="Calibri" w:hAnsi="Calibri" w:cs="Calibri"/>
          <w:color w:val="000000"/>
          <w:sz w:val="22"/>
          <w:szCs w:val="22"/>
        </w:rPr>
        <w:t>Cost Plus</w:t>
      </w:r>
      <w:proofErr w:type="gramEnd"/>
      <w:r>
        <w:rPr>
          <w:rFonts w:ascii="Calibri" w:hAnsi="Calibri" w:cs="Calibri"/>
          <w:color w:val="000000"/>
          <w:sz w:val="22"/>
          <w:szCs w:val="22"/>
        </w:rPr>
        <w:t xml:space="preserve"> Fixed Fee structure be proposed, and if so, how is cost share satisfied?</w:t>
      </w:r>
    </w:p>
    <w:p w14:paraId="0387ECD5" w14:textId="05E0CD1D" w:rsidR="005F139E" w:rsidRDefault="00FE120D">
      <w:pPr>
        <w:pStyle w:val="a-text"/>
        <w:spacing w:after="60" w:afterAutospacing="0"/>
        <w:divId w:val="494610595"/>
        <w:rPr>
          <w:rFonts w:ascii="Calibri" w:hAnsi="Calibri" w:cs="Calibri"/>
          <w:color w:val="000000"/>
          <w:sz w:val="22"/>
          <w:szCs w:val="22"/>
        </w:rPr>
      </w:pPr>
      <w:r>
        <w:rPr>
          <w:rFonts w:ascii="Calibri" w:hAnsi="Calibri" w:cs="Calibri"/>
          <w:color w:val="000000"/>
          <w:sz w:val="22"/>
          <w:szCs w:val="22"/>
        </w:rPr>
        <w:lastRenderedPageBreak/>
        <w:t>The Cost Share requirement applies regardless of proposed cost type. Cost Reimbursable with Cost Share would typically be preferable; however, the Government will consider other options given appropriate rationale. Fee cannot historically be collected on cost-share efforts, as fee would negate the required 50% cost-share requirement.</w:t>
      </w:r>
    </w:p>
    <w:p w14:paraId="1095522B" w14:textId="77777777" w:rsidR="005F139E" w:rsidRDefault="00FE120D">
      <w:pPr>
        <w:pStyle w:val="q-text"/>
        <w:spacing w:before="60" w:beforeAutospacing="0"/>
        <w:divId w:val="2023437852"/>
        <w:rPr>
          <w:rFonts w:ascii="Calibri" w:hAnsi="Calibri" w:cs="Calibri"/>
          <w:color w:val="000000"/>
          <w:sz w:val="22"/>
          <w:szCs w:val="22"/>
        </w:rPr>
      </w:pPr>
      <w:r>
        <w:rPr>
          <w:rStyle w:val="q-num1"/>
          <w:rFonts w:ascii="Calibri" w:hAnsi="Calibri" w:cs="Calibri"/>
          <w:b/>
          <w:bCs/>
          <w:sz w:val="22"/>
          <w:szCs w:val="22"/>
        </w:rPr>
        <w:t>[138]</w:t>
      </w:r>
      <w:r>
        <w:rPr>
          <w:rFonts w:ascii="Calibri" w:hAnsi="Calibri" w:cs="Calibri"/>
          <w:color w:val="000000"/>
          <w:sz w:val="22"/>
          <w:szCs w:val="22"/>
        </w:rPr>
        <w:t xml:space="preserve"> Request for governing rules/guidance on cost share and in-kind contributions; creditable forms; eligibility criteria and documentation; valuation/audit standards; whether third-party or IP contributions are creditable; applicability of 2 CFR 200.306; timing of pre-submission review of cost-share methodology.</w:t>
      </w:r>
    </w:p>
    <w:p w14:paraId="37A99682" w14:textId="0B476304" w:rsidR="005F139E" w:rsidRPr="00EC1063" w:rsidRDefault="00FE120D" w:rsidP="00EC1063">
      <w:pPr>
        <w:pStyle w:val="a-text"/>
        <w:spacing w:after="240" w:afterAutospacing="0"/>
        <w:divId w:val="2023437852"/>
        <w:rPr>
          <w:rFonts w:ascii="Calibri" w:hAnsi="Calibri" w:cs="Calibri"/>
          <w:color w:val="000000"/>
          <w:sz w:val="22"/>
          <w:szCs w:val="22"/>
        </w:rPr>
      </w:pPr>
      <w:r>
        <w:rPr>
          <w:rFonts w:ascii="Calibri" w:hAnsi="Calibri" w:cs="Calibri"/>
          <w:color w:val="000000"/>
          <w:sz w:val="22"/>
          <w:szCs w:val="22"/>
        </w:rPr>
        <w:t xml:space="preserve">Cash contributions, in-kind contributions, and outside non-federal funding may all be contributed as cost share. Guidance is in Attachment C, Section </w:t>
      </w:r>
      <w:proofErr w:type="spellStart"/>
      <w:r>
        <w:rPr>
          <w:rFonts w:ascii="Calibri" w:hAnsi="Calibri" w:cs="Calibri"/>
          <w:color w:val="000000"/>
          <w:sz w:val="22"/>
          <w:szCs w:val="22"/>
        </w:rPr>
        <w:t>i</w:t>
      </w:r>
      <w:proofErr w:type="spellEnd"/>
      <w:r>
        <w:rPr>
          <w:rFonts w:ascii="Calibri" w:hAnsi="Calibri" w:cs="Calibri"/>
          <w:color w:val="000000"/>
          <w:sz w:val="22"/>
          <w:szCs w:val="22"/>
        </w:rPr>
        <w:t>.</w:t>
      </w:r>
      <w:r w:rsidR="004732C2">
        <w:rPr>
          <w:rFonts w:ascii="Calibri" w:hAnsi="Calibri" w:cs="Calibri"/>
          <w:color w:val="000000"/>
          <w:sz w:val="22"/>
          <w:szCs w:val="22"/>
        </w:rPr>
        <w:t xml:space="preserve"> </w:t>
      </w:r>
    </w:p>
    <w:p w14:paraId="7FFFC25A" w14:textId="77777777" w:rsidR="005F139E" w:rsidRDefault="00FE120D">
      <w:pPr>
        <w:pStyle w:val="Heading2"/>
        <w:rPr>
          <w:rFonts w:ascii="Calibri" w:eastAsia="Times New Roman" w:hAnsi="Calibri" w:cs="Calibri"/>
        </w:rPr>
      </w:pPr>
      <w:r>
        <w:rPr>
          <w:rFonts w:ascii="Calibri" w:eastAsia="Times New Roman" w:hAnsi="Calibri" w:cs="Calibri"/>
        </w:rPr>
        <w:t>7. Fee/Profit &amp; Payment Structure</w:t>
      </w:r>
    </w:p>
    <w:p w14:paraId="11D001B1" w14:textId="4CAE41FB" w:rsidR="005F139E" w:rsidRDefault="00FE120D">
      <w:pPr>
        <w:pStyle w:val="q-text"/>
        <w:spacing w:before="60" w:beforeAutospacing="0"/>
        <w:divId w:val="1601596617"/>
        <w:rPr>
          <w:rFonts w:ascii="Calibri" w:hAnsi="Calibri" w:cs="Calibri"/>
          <w:color w:val="000000"/>
          <w:sz w:val="22"/>
          <w:szCs w:val="22"/>
        </w:rPr>
      </w:pPr>
      <w:r>
        <w:rPr>
          <w:rStyle w:val="q-num1"/>
          <w:rFonts w:ascii="Calibri" w:hAnsi="Calibri" w:cs="Calibri"/>
          <w:b/>
          <w:bCs/>
          <w:sz w:val="22"/>
          <w:szCs w:val="22"/>
        </w:rPr>
        <w:t>[5]</w:t>
      </w:r>
      <w:r>
        <w:rPr>
          <w:rFonts w:ascii="Calibri" w:hAnsi="Calibri" w:cs="Calibri"/>
          <w:color w:val="000000"/>
          <w:sz w:val="22"/>
          <w:szCs w:val="22"/>
        </w:rPr>
        <w:t xml:space="preserve"> Does requiring a full Technical and Cost Proposal indicate the Government anticipates a cost-reimbursement/cost-share award, or may </w:t>
      </w:r>
      <w:r w:rsidR="00CF17A9">
        <w:rPr>
          <w:rFonts w:ascii="Calibri" w:hAnsi="Calibri" w:cs="Calibri"/>
          <w:color w:val="000000"/>
          <w:sz w:val="22"/>
          <w:szCs w:val="22"/>
        </w:rPr>
        <w:t>Respondents</w:t>
      </w:r>
      <w:r>
        <w:rPr>
          <w:rFonts w:ascii="Calibri" w:hAnsi="Calibri" w:cs="Calibri"/>
          <w:color w:val="000000"/>
          <w:sz w:val="22"/>
          <w:szCs w:val="22"/>
        </w:rPr>
        <w:t xml:space="preserve"> propose a Fixed-Price structure?</w:t>
      </w:r>
    </w:p>
    <w:p w14:paraId="73DD94AD" w14:textId="4A1059FA" w:rsidR="005F139E" w:rsidRDefault="00FE120D">
      <w:pPr>
        <w:pStyle w:val="a-text"/>
        <w:spacing w:after="60" w:afterAutospacing="0"/>
        <w:divId w:val="1601596617"/>
        <w:rPr>
          <w:rFonts w:ascii="Calibri" w:hAnsi="Calibri" w:cs="Calibri"/>
          <w:color w:val="000000"/>
          <w:sz w:val="22"/>
          <w:szCs w:val="22"/>
        </w:rPr>
      </w:pPr>
      <w:r>
        <w:rPr>
          <w:rFonts w:ascii="Calibri" w:hAnsi="Calibri" w:cs="Calibri"/>
          <w:color w:val="000000"/>
          <w:sz w:val="22"/>
          <w:szCs w:val="22"/>
        </w:rPr>
        <w:t xml:space="preserve">The government is generally amenable to considering members' preferred payment methods. </w:t>
      </w:r>
      <w:r w:rsidR="00CF17A9">
        <w:rPr>
          <w:rFonts w:ascii="Calibri" w:hAnsi="Calibri" w:cs="Calibri"/>
          <w:color w:val="000000"/>
          <w:sz w:val="22"/>
          <w:szCs w:val="22"/>
        </w:rPr>
        <w:t>Respondents</w:t>
      </w:r>
      <w:r>
        <w:rPr>
          <w:rFonts w:ascii="Calibri" w:hAnsi="Calibri" w:cs="Calibri"/>
          <w:color w:val="000000"/>
          <w:sz w:val="22"/>
          <w:szCs w:val="22"/>
        </w:rPr>
        <w:t xml:space="preserve"> should propose the payment method most preferred by the proposing organization.</w:t>
      </w:r>
    </w:p>
    <w:p w14:paraId="169DA597" w14:textId="77777777" w:rsidR="005F139E" w:rsidRDefault="00FE120D">
      <w:pPr>
        <w:pStyle w:val="q-text"/>
        <w:spacing w:before="60" w:beforeAutospacing="0"/>
        <w:divId w:val="252326380"/>
        <w:rPr>
          <w:rFonts w:ascii="Calibri" w:hAnsi="Calibri" w:cs="Calibri"/>
          <w:color w:val="000000"/>
          <w:sz w:val="22"/>
          <w:szCs w:val="22"/>
        </w:rPr>
      </w:pPr>
      <w:r>
        <w:rPr>
          <w:rStyle w:val="q-num1"/>
          <w:rFonts w:ascii="Calibri" w:hAnsi="Calibri" w:cs="Calibri"/>
          <w:b/>
          <w:bCs/>
          <w:sz w:val="22"/>
          <w:szCs w:val="22"/>
        </w:rPr>
        <w:t>[74]</w:t>
      </w:r>
      <w:r>
        <w:rPr>
          <w:rFonts w:ascii="Calibri" w:hAnsi="Calibri" w:cs="Calibri"/>
          <w:color w:val="000000"/>
          <w:sz w:val="22"/>
          <w:szCs w:val="22"/>
        </w:rPr>
        <w:t xml:space="preserve"> Do these provisions mean no fee is available on any proposal because cost share is mandatory in every case? If not, may a reasonable fee be earned on the Government-funded portion?</w:t>
      </w:r>
    </w:p>
    <w:p w14:paraId="38E64555" w14:textId="2D870F16" w:rsidR="005F139E" w:rsidRDefault="00FE120D">
      <w:pPr>
        <w:pStyle w:val="a-text"/>
        <w:spacing w:after="60" w:afterAutospacing="0"/>
        <w:divId w:val="252326380"/>
        <w:rPr>
          <w:rFonts w:ascii="Calibri" w:hAnsi="Calibri" w:cs="Calibri"/>
          <w:color w:val="000000"/>
          <w:sz w:val="22"/>
          <w:szCs w:val="22"/>
        </w:rPr>
      </w:pPr>
      <w:r>
        <w:rPr>
          <w:rFonts w:ascii="Calibri" w:hAnsi="Calibri" w:cs="Calibri"/>
          <w:color w:val="000000"/>
          <w:sz w:val="22"/>
          <w:szCs w:val="22"/>
        </w:rPr>
        <w:t xml:space="preserve">Historically, </w:t>
      </w:r>
      <w:r w:rsidR="00EE48AE">
        <w:rPr>
          <w:rFonts w:ascii="Calibri" w:hAnsi="Calibri" w:cs="Calibri"/>
          <w:color w:val="000000"/>
          <w:sz w:val="22"/>
          <w:szCs w:val="22"/>
        </w:rPr>
        <w:t>profit</w:t>
      </w:r>
      <w:r>
        <w:rPr>
          <w:rFonts w:ascii="Calibri" w:hAnsi="Calibri" w:cs="Calibri"/>
          <w:color w:val="000000"/>
          <w:sz w:val="22"/>
          <w:szCs w:val="22"/>
        </w:rPr>
        <w:t xml:space="preserve"> cannot be collected on efforts that involve cost share, as </w:t>
      </w:r>
      <w:r w:rsidR="00EE48AE">
        <w:rPr>
          <w:rFonts w:ascii="Calibri" w:hAnsi="Calibri" w:cs="Calibri"/>
          <w:color w:val="000000"/>
          <w:sz w:val="22"/>
          <w:szCs w:val="22"/>
        </w:rPr>
        <w:t>profit</w:t>
      </w:r>
      <w:r>
        <w:rPr>
          <w:rFonts w:ascii="Calibri" w:hAnsi="Calibri" w:cs="Calibri"/>
          <w:color w:val="000000"/>
          <w:sz w:val="22"/>
          <w:szCs w:val="22"/>
        </w:rPr>
        <w:t xml:space="preserve"> would negate the required 50% cost-share requirement. Should an organization have rationale for </w:t>
      </w:r>
      <w:r w:rsidR="00EE48AE">
        <w:rPr>
          <w:rFonts w:ascii="Calibri" w:hAnsi="Calibri" w:cs="Calibri"/>
          <w:color w:val="000000"/>
          <w:sz w:val="22"/>
          <w:szCs w:val="22"/>
        </w:rPr>
        <w:t>profit</w:t>
      </w:r>
      <w:r>
        <w:rPr>
          <w:rFonts w:ascii="Calibri" w:hAnsi="Calibri" w:cs="Calibri"/>
          <w:color w:val="000000"/>
          <w:sz w:val="22"/>
          <w:szCs w:val="22"/>
        </w:rPr>
        <w:t>, the Government would negotiate that on a case-by-case basis.</w:t>
      </w:r>
    </w:p>
    <w:p w14:paraId="74FE9F8C" w14:textId="77777777" w:rsidR="005F139E" w:rsidRDefault="00FE120D">
      <w:pPr>
        <w:pStyle w:val="q-text"/>
        <w:spacing w:before="60" w:beforeAutospacing="0"/>
        <w:divId w:val="958876081"/>
        <w:rPr>
          <w:rFonts w:ascii="Calibri" w:hAnsi="Calibri" w:cs="Calibri"/>
          <w:color w:val="000000"/>
          <w:sz w:val="22"/>
          <w:szCs w:val="22"/>
        </w:rPr>
      </w:pPr>
      <w:r>
        <w:rPr>
          <w:rStyle w:val="q-num1"/>
          <w:rFonts w:ascii="Calibri" w:hAnsi="Calibri" w:cs="Calibri"/>
          <w:b/>
          <w:bCs/>
          <w:sz w:val="22"/>
          <w:szCs w:val="22"/>
        </w:rPr>
        <w:t>[75]</w:t>
      </w:r>
      <w:r>
        <w:rPr>
          <w:rFonts w:ascii="Calibri" w:hAnsi="Calibri" w:cs="Calibri"/>
          <w:color w:val="000000"/>
          <w:sz w:val="22"/>
          <w:szCs w:val="22"/>
        </w:rPr>
        <w:t xml:space="preserve"> Please confirm which of the four payment methods remain available given cost share may be proposed only on cost-type agreements.</w:t>
      </w:r>
    </w:p>
    <w:p w14:paraId="79E5FE55" w14:textId="49982237" w:rsidR="005F139E" w:rsidRPr="00EC1063" w:rsidRDefault="00FE120D" w:rsidP="00EC1063">
      <w:pPr>
        <w:pStyle w:val="a-text"/>
        <w:spacing w:after="240" w:afterAutospacing="0"/>
        <w:divId w:val="958876081"/>
        <w:rPr>
          <w:rFonts w:ascii="Calibri" w:hAnsi="Calibri" w:cs="Calibri"/>
          <w:color w:val="000000"/>
          <w:sz w:val="22"/>
          <w:szCs w:val="22"/>
        </w:rPr>
      </w:pPr>
      <w:r>
        <w:rPr>
          <w:rFonts w:ascii="Calibri" w:hAnsi="Calibri" w:cs="Calibri"/>
          <w:color w:val="000000"/>
          <w:sz w:val="22"/>
          <w:szCs w:val="22"/>
        </w:rPr>
        <w:t>Typically Cost Reimbursable with cost share would be applicable; however, the Government is open to other options given appropriate rationale.</w:t>
      </w:r>
    </w:p>
    <w:p w14:paraId="075AFBF8" w14:textId="77777777" w:rsidR="005F139E" w:rsidRDefault="00FE120D">
      <w:pPr>
        <w:pStyle w:val="Heading2"/>
        <w:rPr>
          <w:rFonts w:ascii="Calibri" w:eastAsia="Times New Roman" w:hAnsi="Calibri" w:cs="Calibri"/>
        </w:rPr>
      </w:pPr>
      <w:r>
        <w:rPr>
          <w:rFonts w:ascii="Calibri" w:eastAsia="Times New Roman" w:hAnsi="Calibri" w:cs="Calibri"/>
        </w:rPr>
        <w:t>8. Invoicing, Payment Schedule &amp; Milestones</w:t>
      </w:r>
    </w:p>
    <w:p w14:paraId="4880FA96" w14:textId="77777777" w:rsidR="005F139E" w:rsidRDefault="00FE120D">
      <w:pPr>
        <w:pStyle w:val="q-text"/>
        <w:spacing w:before="60" w:beforeAutospacing="0"/>
        <w:divId w:val="869143115"/>
        <w:rPr>
          <w:rFonts w:ascii="Calibri" w:hAnsi="Calibri" w:cs="Calibri"/>
          <w:color w:val="000000"/>
          <w:sz w:val="22"/>
          <w:szCs w:val="22"/>
        </w:rPr>
      </w:pPr>
      <w:r>
        <w:rPr>
          <w:rStyle w:val="q-num1"/>
          <w:rFonts w:ascii="Calibri" w:hAnsi="Calibri" w:cs="Calibri"/>
          <w:b/>
          <w:bCs/>
          <w:sz w:val="22"/>
          <w:szCs w:val="22"/>
        </w:rPr>
        <w:t>[25]</w:t>
      </w:r>
      <w:r>
        <w:rPr>
          <w:rFonts w:ascii="Calibri" w:hAnsi="Calibri" w:cs="Calibri"/>
          <w:color w:val="000000"/>
          <w:sz w:val="22"/>
          <w:szCs w:val="22"/>
        </w:rPr>
        <w:t xml:space="preserve"> Will the government provide a payment schedule?</w:t>
      </w:r>
    </w:p>
    <w:p w14:paraId="171A2DC0" w14:textId="5C5011F0" w:rsidR="005F139E" w:rsidRDefault="00FE120D">
      <w:pPr>
        <w:pStyle w:val="a-text"/>
        <w:spacing w:after="60" w:afterAutospacing="0"/>
        <w:divId w:val="869143115"/>
        <w:rPr>
          <w:rFonts w:ascii="Calibri" w:hAnsi="Calibri" w:cs="Calibri"/>
          <w:color w:val="000000"/>
          <w:sz w:val="22"/>
          <w:szCs w:val="22"/>
        </w:rPr>
      </w:pPr>
      <w:r>
        <w:rPr>
          <w:rFonts w:ascii="Calibri" w:hAnsi="Calibri" w:cs="Calibri"/>
          <w:color w:val="000000"/>
          <w:sz w:val="22"/>
          <w:szCs w:val="22"/>
        </w:rPr>
        <w:t xml:space="preserve">Per Attachment C, Section 7, </w:t>
      </w:r>
      <w:r w:rsidR="00CF17A9">
        <w:rPr>
          <w:rFonts w:ascii="Calibri" w:hAnsi="Calibri" w:cs="Calibri"/>
          <w:color w:val="000000"/>
          <w:sz w:val="22"/>
          <w:szCs w:val="22"/>
        </w:rPr>
        <w:t>Respondents</w:t>
      </w:r>
      <w:r>
        <w:rPr>
          <w:rFonts w:ascii="Calibri" w:hAnsi="Calibri" w:cs="Calibri"/>
          <w:color w:val="000000"/>
          <w:sz w:val="22"/>
          <w:szCs w:val="22"/>
        </w:rPr>
        <w:t xml:space="preserve"> are to propose a recommended milestone payment schedule (MPS). If recommended for award, the proposed MPS may change during negotiations.</w:t>
      </w:r>
    </w:p>
    <w:p w14:paraId="6259EFBF" w14:textId="77777777" w:rsidR="005F139E" w:rsidRDefault="00FE120D">
      <w:pPr>
        <w:pStyle w:val="q-text"/>
        <w:spacing w:before="60" w:beforeAutospacing="0"/>
        <w:divId w:val="1408964529"/>
        <w:rPr>
          <w:rFonts w:ascii="Calibri" w:hAnsi="Calibri" w:cs="Calibri"/>
          <w:color w:val="000000"/>
          <w:sz w:val="22"/>
          <w:szCs w:val="22"/>
        </w:rPr>
      </w:pPr>
      <w:r>
        <w:rPr>
          <w:rStyle w:val="q-num1"/>
          <w:rFonts w:ascii="Calibri" w:hAnsi="Calibri" w:cs="Calibri"/>
          <w:b/>
          <w:bCs/>
          <w:sz w:val="22"/>
          <w:szCs w:val="22"/>
        </w:rPr>
        <w:t>[26]</w:t>
      </w:r>
      <w:r>
        <w:rPr>
          <w:rFonts w:ascii="Calibri" w:hAnsi="Calibri" w:cs="Calibri"/>
          <w:color w:val="000000"/>
          <w:sz w:val="22"/>
          <w:szCs w:val="22"/>
        </w:rPr>
        <w:t xml:space="preserve"> At what point may an awardee begin incurring reimbursable costs, and how does BARDA anticipate obligating and paying funds over the project period?</w:t>
      </w:r>
    </w:p>
    <w:p w14:paraId="7CA58F81" w14:textId="6FFD2CBD" w:rsidR="004732C2" w:rsidRDefault="00FE120D" w:rsidP="00035118">
      <w:pPr>
        <w:pStyle w:val="a-text"/>
        <w:spacing w:after="60" w:afterAutospacing="0"/>
        <w:divId w:val="1408964529"/>
        <w:rPr>
          <w:rFonts w:ascii="Calibri" w:hAnsi="Calibri" w:cs="Calibri"/>
          <w:color w:val="000000"/>
          <w:sz w:val="22"/>
          <w:szCs w:val="22"/>
        </w:rPr>
      </w:pPr>
      <w:r>
        <w:rPr>
          <w:rFonts w:ascii="Calibri" w:hAnsi="Calibri" w:cs="Calibri"/>
          <w:color w:val="000000"/>
          <w:sz w:val="22"/>
          <w:szCs w:val="22"/>
        </w:rPr>
        <w:t xml:space="preserve">Costs may not be incurred until after a project is awarded through an executed Project Agreement. </w:t>
      </w:r>
      <w:r w:rsidR="00CF17A9">
        <w:rPr>
          <w:rFonts w:ascii="Calibri" w:hAnsi="Calibri" w:cs="Calibri"/>
          <w:color w:val="000000"/>
          <w:sz w:val="22"/>
          <w:szCs w:val="22"/>
        </w:rPr>
        <w:t>Respondents</w:t>
      </w:r>
      <w:r>
        <w:rPr>
          <w:rFonts w:ascii="Calibri" w:hAnsi="Calibri" w:cs="Calibri"/>
          <w:color w:val="000000"/>
          <w:sz w:val="22"/>
          <w:szCs w:val="22"/>
        </w:rPr>
        <w:t xml:space="preserve"> may submit invoices no more than monthly throughout the period of performance.</w:t>
      </w:r>
      <w:r w:rsidR="004732C2">
        <w:rPr>
          <w:rFonts w:ascii="Calibri" w:hAnsi="Calibri" w:cs="Calibri"/>
          <w:color w:val="000000"/>
          <w:sz w:val="22"/>
          <w:szCs w:val="22"/>
        </w:rPr>
        <w:t xml:space="preserve"> </w:t>
      </w:r>
    </w:p>
    <w:p w14:paraId="12346756" w14:textId="77777777" w:rsidR="005F139E" w:rsidRDefault="00FE120D">
      <w:pPr>
        <w:pStyle w:val="q-text"/>
        <w:spacing w:before="60" w:beforeAutospacing="0"/>
        <w:divId w:val="1906450479"/>
        <w:rPr>
          <w:rFonts w:ascii="Calibri" w:hAnsi="Calibri" w:cs="Calibri"/>
          <w:color w:val="000000"/>
          <w:sz w:val="22"/>
          <w:szCs w:val="22"/>
        </w:rPr>
      </w:pPr>
      <w:r>
        <w:rPr>
          <w:rStyle w:val="q-num1"/>
          <w:rFonts w:ascii="Calibri" w:hAnsi="Calibri" w:cs="Calibri"/>
          <w:b/>
          <w:bCs/>
          <w:sz w:val="22"/>
          <w:szCs w:val="22"/>
        </w:rPr>
        <w:t>[51]</w:t>
      </w:r>
      <w:r>
        <w:rPr>
          <w:rFonts w:ascii="Calibri" w:hAnsi="Calibri" w:cs="Calibri"/>
          <w:color w:val="000000"/>
          <w:sz w:val="22"/>
          <w:szCs w:val="22"/>
        </w:rPr>
        <w:t xml:space="preserve"> Following milestone acceptance, what are the anticipated invoice review and payment timelines?</w:t>
      </w:r>
    </w:p>
    <w:p w14:paraId="7F6D169F" w14:textId="4D779B2A" w:rsidR="005F139E" w:rsidRDefault="00FE120D">
      <w:pPr>
        <w:pStyle w:val="a-text"/>
        <w:spacing w:after="60" w:afterAutospacing="0"/>
        <w:divId w:val="1906450479"/>
        <w:rPr>
          <w:rFonts w:ascii="Calibri" w:hAnsi="Calibri" w:cs="Calibri"/>
          <w:color w:val="000000"/>
          <w:sz w:val="22"/>
          <w:szCs w:val="22"/>
        </w:rPr>
      </w:pPr>
      <w:r>
        <w:rPr>
          <w:rFonts w:ascii="Calibri" w:hAnsi="Calibri" w:cs="Calibri"/>
          <w:color w:val="000000"/>
          <w:sz w:val="22"/>
          <w:szCs w:val="22"/>
        </w:rPr>
        <w:t xml:space="preserve">As the CMF, ATI aims to pay all invoices Net 30 after an acceptable invoice is received. See Section 6 of the </w:t>
      </w:r>
      <w:proofErr w:type="spellStart"/>
      <w:r>
        <w:rPr>
          <w:rFonts w:ascii="Calibri" w:hAnsi="Calibri" w:cs="Calibri"/>
          <w:color w:val="000000"/>
          <w:sz w:val="22"/>
          <w:szCs w:val="22"/>
        </w:rPr>
        <w:t>BioMaP</w:t>
      </w:r>
      <w:proofErr w:type="spellEnd"/>
      <w:r>
        <w:rPr>
          <w:rFonts w:ascii="Calibri" w:hAnsi="Calibri" w:cs="Calibri"/>
          <w:color w:val="000000"/>
          <w:sz w:val="22"/>
          <w:szCs w:val="22"/>
        </w:rPr>
        <w:t xml:space="preserve"> Base Agreement for additional invoicing requirements.</w:t>
      </w:r>
    </w:p>
    <w:p w14:paraId="1709BD70" w14:textId="00886E68" w:rsidR="005F139E" w:rsidRDefault="00FE120D">
      <w:pPr>
        <w:pStyle w:val="q-text"/>
        <w:spacing w:before="60" w:beforeAutospacing="0"/>
        <w:divId w:val="1274167856"/>
        <w:rPr>
          <w:rFonts w:ascii="Calibri" w:hAnsi="Calibri" w:cs="Calibri"/>
          <w:color w:val="000000"/>
          <w:sz w:val="22"/>
          <w:szCs w:val="22"/>
        </w:rPr>
      </w:pPr>
      <w:r>
        <w:rPr>
          <w:rStyle w:val="q-num1"/>
          <w:rFonts w:ascii="Calibri" w:hAnsi="Calibri" w:cs="Calibri"/>
          <w:b/>
          <w:bCs/>
          <w:sz w:val="22"/>
          <w:szCs w:val="22"/>
        </w:rPr>
        <w:t>[77]</w:t>
      </w:r>
      <w:r>
        <w:rPr>
          <w:rFonts w:ascii="Calibri" w:hAnsi="Calibri" w:cs="Calibri"/>
          <w:color w:val="000000"/>
          <w:sz w:val="22"/>
          <w:szCs w:val="22"/>
        </w:rPr>
        <w:t xml:space="preserve"> How should </w:t>
      </w:r>
      <w:r w:rsidR="00CF17A9">
        <w:rPr>
          <w:rFonts w:ascii="Calibri" w:hAnsi="Calibri" w:cs="Calibri"/>
          <w:color w:val="000000"/>
          <w:sz w:val="22"/>
          <w:szCs w:val="22"/>
        </w:rPr>
        <w:t>Respondents</w:t>
      </w:r>
      <w:r>
        <w:rPr>
          <w:rFonts w:ascii="Calibri" w:hAnsi="Calibri" w:cs="Calibri"/>
          <w:color w:val="000000"/>
          <w:sz w:val="22"/>
          <w:szCs w:val="22"/>
        </w:rPr>
        <w:t xml:space="preserve"> structure the milestone/invoicing schedule so that unfunded recurring programmatic reporting is accommodated alongside milestones with sufficient value to justify an invoice?</w:t>
      </w:r>
    </w:p>
    <w:p w14:paraId="1F7C4CA4" w14:textId="557E442E" w:rsidR="005F139E" w:rsidRPr="00EC1063" w:rsidRDefault="00FE120D" w:rsidP="00EC1063">
      <w:pPr>
        <w:pStyle w:val="a-text"/>
        <w:spacing w:after="240" w:afterAutospacing="0"/>
        <w:divId w:val="1274167856"/>
        <w:rPr>
          <w:rFonts w:ascii="Calibri" w:hAnsi="Calibri" w:cs="Calibri"/>
          <w:color w:val="000000"/>
          <w:sz w:val="22"/>
          <w:szCs w:val="22"/>
        </w:rPr>
      </w:pPr>
      <w:r>
        <w:rPr>
          <w:rFonts w:ascii="Calibri" w:hAnsi="Calibri" w:cs="Calibri"/>
          <w:color w:val="000000"/>
          <w:sz w:val="22"/>
          <w:szCs w:val="22"/>
        </w:rPr>
        <w:t>Performers must propose a recommended Milestone Payment Schedule in Section 7 of the Cost Proposal, balancing recurring programmatic deliverables against high-value technical milestones, to be refined through formal negotiations.</w:t>
      </w:r>
    </w:p>
    <w:p w14:paraId="7E94DFC1" w14:textId="77777777" w:rsidR="005F139E" w:rsidRDefault="00FE120D">
      <w:pPr>
        <w:pStyle w:val="Heading2"/>
        <w:rPr>
          <w:rFonts w:ascii="Calibri" w:eastAsia="Times New Roman" w:hAnsi="Calibri" w:cs="Calibri"/>
        </w:rPr>
      </w:pPr>
      <w:r>
        <w:rPr>
          <w:rFonts w:ascii="Calibri" w:eastAsia="Times New Roman" w:hAnsi="Calibri" w:cs="Calibri"/>
        </w:rPr>
        <w:lastRenderedPageBreak/>
        <w:t>9. Funding Level, Scope &amp; Costs Government Will Fund</w:t>
      </w:r>
    </w:p>
    <w:p w14:paraId="3058E773" w14:textId="77777777" w:rsidR="005F139E" w:rsidRDefault="00FE120D">
      <w:pPr>
        <w:pStyle w:val="q-text"/>
        <w:spacing w:before="60" w:beforeAutospacing="0"/>
        <w:divId w:val="1504397458"/>
        <w:rPr>
          <w:rFonts w:ascii="Calibri" w:hAnsi="Calibri" w:cs="Calibri"/>
          <w:color w:val="000000"/>
          <w:sz w:val="22"/>
          <w:szCs w:val="22"/>
        </w:rPr>
      </w:pPr>
      <w:r>
        <w:rPr>
          <w:rStyle w:val="q-num1"/>
          <w:rFonts w:ascii="Calibri" w:hAnsi="Calibri" w:cs="Calibri"/>
          <w:b/>
          <w:bCs/>
          <w:sz w:val="22"/>
          <w:szCs w:val="22"/>
        </w:rPr>
        <w:t>[27]</w:t>
      </w:r>
      <w:r>
        <w:rPr>
          <w:rFonts w:ascii="Calibri" w:hAnsi="Calibri" w:cs="Calibri"/>
          <w:color w:val="000000"/>
          <w:sz w:val="22"/>
          <w:szCs w:val="22"/>
        </w:rPr>
        <w:t xml:space="preserve"> What project costs </w:t>
      </w:r>
      <w:proofErr w:type="gramStart"/>
      <w:r>
        <w:rPr>
          <w:rFonts w:ascii="Calibri" w:hAnsi="Calibri" w:cs="Calibri"/>
          <w:color w:val="000000"/>
          <w:sz w:val="22"/>
          <w:szCs w:val="22"/>
        </w:rPr>
        <w:t>does</w:t>
      </w:r>
      <w:proofErr w:type="gramEnd"/>
      <w:r>
        <w:rPr>
          <w:rFonts w:ascii="Calibri" w:hAnsi="Calibri" w:cs="Calibri"/>
          <w:color w:val="000000"/>
          <w:sz w:val="22"/>
          <w:szCs w:val="22"/>
        </w:rPr>
        <w:t xml:space="preserve"> the Government intend to fund — facility expansion, capacity, meetings, technical deliverables, security, and/or long-term sustainment?</w:t>
      </w:r>
    </w:p>
    <w:p w14:paraId="5DB3F5D3" w14:textId="4B4BA4BC" w:rsidR="005F139E" w:rsidRPr="0055455A" w:rsidRDefault="00FE120D" w:rsidP="00900402">
      <w:pPr>
        <w:pStyle w:val="a-text"/>
        <w:spacing w:after="60" w:afterAutospacing="0"/>
        <w:divId w:val="1504397458"/>
        <w:rPr>
          <w:rFonts w:ascii="Calibri" w:hAnsi="Calibri" w:cs="Calibri"/>
          <w:strike/>
          <w:color w:val="000000"/>
          <w:sz w:val="22"/>
          <w:szCs w:val="22"/>
        </w:rPr>
      </w:pPr>
      <w:r>
        <w:rPr>
          <w:rFonts w:ascii="Calibri" w:hAnsi="Calibri" w:cs="Calibri"/>
          <w:color w:val="000000"/>
          <w:sz w:val="22"/>
          <w:szCs w:val="22"/>
        </w:rPr>
        <w:t>The Government intends to share eligible costs strictly incurred during the active 24-month period of performance to build, update, or automate domestic manufacturing capacity</w:t>
      </w:r>
      <w:r w:rsidR="004732C2">
        <w:rPr>
          <w:rFonts w:ascii="Calibri" w:hAnsi="Calibri" w:cs="Calibri"/>
          <w:color w:val="000000"/>
          <w:sz w:val="22"/>
          <w:szCs w:val="22"/>
        </w:rPr>
        <w:t xml:space="preserve">. </w:t>
      </w:r>
    </w:p>
    <w:p w14:paraId="5BEA91B1" w14:textId="77777777" w:rsidR="005F139E" w:rsidRDefault="00FE120D">
      <w:pPr>
        <w:pStyle w:val="q-text"/>
        <w:spacing w:before="60" w:beforeAutospacing="0"/>
        <w:divId w:val="887642329"/>
        <w:rPr>
          <w:rFonts w:ascii="Calibri" w:hAnsi="Calibri" w:cs="Calibri"/>
          <w:color w:val="000000"/>
          <w:sz w:val="22"/>
          <w:szCs w:val="22"/>
        </w:rPr>
      </w:pPr>
      <w:r>
        <w:rPr>
          <w:rStyle w:val="q-num1"/>
          <w:rFonts w:ascii="Calibri" w:hAnsi="Calibri" w:cs="Calibri"/>
          <w:b/>
          <w:bCs/>
          <w:sz w:val="22"/>
          <w:szCs w:val="22"/>
        </w:rPr>
        <w:t>[59]</w:t>
      </w:r>
      <w:r>
        <w:rPr>
          <w:rFonts w:ascii="Calibri" w:hAnsi="Calibri" w:cs="Calibri"/>
          <w:color w:val="000000"/>
          <w:sz w:val="22"/>
          <w:szCs w:val="22"/>
        </w:rPr>
        <w:t xml:space="preserve"> What is the total funding available under this RPP?</w:t>
      </w:r>
    </w:p>
    <w:p w14:paraId="50E41EAC" w14:textId="09A4CBA3" w:rsidR="005F139E" w:rsidRDefault="00794FED">
      <w:pPr>
        <w:pStyle w:val="a-text"/>
        <w:spacing w:after="60" w:afterAutospacing="0"/>
        <w:divId w:val="887642329"/>
        <w:rPr>
          <w:rFonts w:ascii="Calibri" w:hAnsi="Calibri" w:cs="Calibri"/>
          <w:color w:val="000000"/>
          <w:sz w:val="22"/>
          <w:szCs w:val="22"/>
        </w:rPr>
      </w:pPr>
      <w:r>
        <w:rPr>
          <w:rFonts w:ascii="Calibri" w:hAnsi="Calibri" w:cs="Calibri"/>
          <w:color w:val="000000"/>
          <w:sz w:val="22"/>
          <w:szCs w:val="22"/>
        </w:rPr>
        <w:t>See amended RPP Section 2.3.</w:t>
      </w:r>
    </w:p>
    <w:p w14:paraId="5A79917D" w14:textId="1224D43B" w:rsidR="005F139E" w:rsidRDefault="00FE120D">
      <w:pPr>
        <w:pStyle w:val="q-text"/>
        <w:spacing w:before="60" w:beforeAutospacing="0"/>
        <w:divId w:val="391075233"/>
        <w:rPr>
          <w:rFonts w:ascii="Calibri" w:hAnsi="Calibri" w:cs="Calibri"/>
          <w:color w:val="000000"/>
          <w:sz w:val="22"/>
          <w:szCs w:val="22"/>
        </w:rPr>
      </w:pPr>
      <w:r>
        <w:rPr>
          <w:rStyle w:val="q-num1"/>
          <w:rFonts w:ascii="Calibri" w:hAnsi="Calibri" w:cs="Calibri"/>
          <w:b/>
          <w:bCs/>
          <w:sz w:val="22"/>
          <w:szCs w:val="22"/>
        </w:rPr>
        <w:t>[70]</w:t>
      </w:r>
      <w:r>
        <w:rPr>
          <w:rFonts w:ascii="Calibri" w:hAnsi="Calibri" w:cs="Calibri"/>
          <w:color w:val="000000"/>
          <w:sz w:val="22"/>
          <w:szCs w:val="22"/>
        </w:rPr>
        <w:t xml:space="preserve"> Would the Government consider publishing an anticipated funding range, not-to-exceed amount, or approximate number of awards to assist </w:t>
      </w:r>
      <w:r w:rsidR="00CF17A9">
        <w:rPr>
          <w:rFonts w:ascii="Calibri" w:hAnsi="Calibri" w:cs="Calibri"/>
          <w:color w:val="000000"/>
          <w:sz w:val="22"/>
          <w:szCs w:val="22"/>
        </w:rPr>
        <w:t>Respondents</w:t>
      </w:r>
      <w:r>
        <w:rPr>
          <w:rFonts w:ascii="Calibri" w:hAnsi="Calibri" w:cs="Calibri"/>
          <w:color w:val="000000"/>
          <w:sz w:val="22"/>
          <w:szCs w:val="22"/>
        </w:rPr>
        <w:t xml:space="preserve"> in securing outside funding?</w:t>
      </w:r>
    </w:p>
    <w:p w14:paraId="04CF3C8F" w14:textId="0F32D3D9" w:rsidR="005F139E" w:rsidRPr="0055455A" w:rsidRDefault="00EE3595" w:rsidP="00E379F9">
      <w:pPr>
        <w:pStyle w:val="a-text"/>
        <w:spacing w:after="60" w:afterAutospacing="0"/>
        <w:divId w:val="391075233"/>
        <w:rPr>
          <w:rFonts w:ascii="Calibri" w:hAnsi="Calibri" w:cs="Calibri"/>
          <w:strike/>
          <w:color w:val="000000"/>
          <w:sz w:val="22"/>
          <w:szCs w:val="22"/>
        </w:rPr>
      </w:pPr>
      <w:r>
        <w:rPr>
          <w:rFonts w:ascii="Calibri" w:hAnsi="Calibri" w:cs="Calibri"/>
          <w:color w:val="000000"/>
          <w:sz w:val="22"/>
          <w:szCs w:val="22"/>
        </w:rPr>
        <w:t xml:space="preserve">See </w:t>
      </w:r>
      <w:r w:rsidR="00547817">
        <w:rPr>
          <w:rFonts w:ascii="Calibri" w:hAnsi="Calibri" w:cs="Calibri"/>
          <w:color w:val="000000"/>
          <w:sz w:val="22"/>
          <w:szCs w:val="22"/>
        </w:rPr>
        <w:t>amende</w:t>
      </w:r>
      <w:r w:rsidR="000B4B1C">
        <w:rPr>
          <w:rFonts w:ascii="Calibri" w:hAnsi="Calibri" w:cs="Calibri"/>
          <w:color w:val="000000"/>
          <w:sz w:val="22"/>
          <w:szCs w:val="22"/>
        </w:rPr>
        <w:t>d</w:t>
      </w:r>
      <w:r w:rsidR="00063CFF">
        <w:rPr>
          <w:rFonts w:ascii="Calibri" w:hAnsi="Calibri" w:cs="Calibri"/>
          <w:color w:val="000000"/>
          <w:sz w:val="22"/>
          <w:szCs w:val="22"/>
        </w:rPr>
        <w:t xml:space="preserve"> RPP Section 2.3.</w:t>
      </w:r>
      <w:r w:rsidR="00FE120D">
        <w:rPr>
          <w:rFonts w:ascii="Calibri" w:hAnsi="Calibri" w:cs="Calibri"/>
          <w:color w:val="000000"/>
          <w:sz w:val="22"/>
          <w:szCs w:val="22"/>
        </w:rPr>
        <w:t xml:space="preserve"> </w:t>
      </w:r>
    </w:p>
    <w:p w14:paraId="1D52ECC1" w14:textId="77777777" w:rsidR="005F139E" w:rsidRDefault="00FE120D">
      <w:pPr>
        <w:pStyle w:val="q-text"/>
        <w:spacing w:before="60" w:beforeAutospacing="0"/>
        <w:divId w:val="758524511"/>
        <w:rPr>
          <w:rFonts w:ascii="Calibri" w:hAnsi="Calibri" w:cs="Calibri"/>
          <w:color w:val="000000"/>
          <w:sz w:val="22"/>
          <w:szCs w:val="22"/>
        </w:rPr>
      </w:pPr>
      <w:r>
        <w:rPr>
          <w:rStyle w:val="q-num1"/>
          <w:rFonts w:ascii="Calibri" w:hAnsi="Calibri" w:cs="Calibri"/>
          <w:b/>
          <w:bCs/>
          <w:sz w:val="22"/>
          <w:szCs w:val="22"/>
        </w:rPr>
        <w:t>[76]</w:t>
      </w:r>
      <w:r>
        <w:rPr>
          <w:rFonts w:ascii="Calibri" w:hAnsi="Calibri" w:cs="Calibri"/>
          <w:color w:val="000000"/>
          <w:sz w:val="22"/>
          <w:szCs w:val="22"/>
        </w:rPr>
        <w:t xml:space="preserve"> Does equipment acquisition/installation fall within the extraordinary circumstances contemplated such that Government funds may be applied to acquire and install production equipment?</w:t>
      </w:r>
    </w:p>
    <w:p w14:paraId="11516170" w14:textId="1C195975" w:rsidR="005F139E" w:rsidRPr="0055455A" w:rsidRDefault="00FE120D" w:rsidP="00664DA0">
      <w:pPr>
        <w:pStyle w:val="a-text"/>
        <w:spacing w:after="60" w:afterAutospacing="0"/>
        <w:divId w:val="758524511"/>
        <w:rPr>
          <w:rFonts w:ascii="Calibri" w:hAnsi="Calibri" w:cs="Calibri"/>
          <w:strike/>
          <w:color w:val="000000"/>
          <w:sz w:val="22"/>
          <w:szCs w:val="22"/>
        </w:rPr>
      </w:pPr>
      <w:r>
        <w:rPr>
          <w:rFonts w:ascii="Calibri" w:hAnsi="Calibri" w:cs="Calibri"/>
          <w:color w:val="000000"/>
          <w:sz w:val="22"/>
          <w:szCs w:val="22"/>
        </w:rPr>
        <w:t xml:space="preserve">Yes. </w:t>
      </w:r>
    </w:p>
    <w:p w14:paraId="7A13B770" w14:textId="77777777" w:rsidR="005F139E" w:rsidRDefault="00FE120D">
      <w:pPr>
        <w:pStyle w:val="q-text"/>
        <w:spacing w:before="60" w:beforeAutospacing="0"/>
        <w:divId w:val="386102236"/>
        <w:rPr>
          <w:rFonts w:ascii="Calibri" w:hAnsi="Calibri" w:cs="Calibri"/>
          <w:color w:val="000000"/>
          <w:sz w:val="22"/>
          <w:szCs w:val="22"/>
        </w:rPr>
      </w:pPr>
      <w:r>
        <w:rPr>
          <w:rStyle w:val="q-num1"/>
          <w:rFonts w:ascii="Calibri" w:hAnsi="Calibri" w:cs="Calibri"/>
          <w:b/>
          <w:bCs/>
          <w:sz w:val="22"/>
          <w:szCs w:val="22"/>
        </w:rPr>
        <w:t>[117]</w:t>
      </w:r>
      <w:r>
        <w:rPr>
          <w:rFonts w:ascii="Calibri" w:hAnsi="Calibri" w:cs="Calibri"/>
          <w:color w:val="000000"/>
          <w:sz w:val="22"/>
          <w:szCs w:val="22"/>
        </w:rPr>
        <w:t xml:space="preserve"> Request for source of funds/appropriation/account; dollar amount currently allocated; anticipated total program funding, award count, and per-award funding range.</w:t>
      </w:r>
    </w:p>
    <w:p w14:paraId="617134E7" w14:textId="5D763D45" w:rsidR="005F139E" w:rsidRDefault="00597D68" w:rsidP="00664DA0">
      <w:pPr>
        <w:pStyle w:val="a-text"/>
        <w:spacing w:after="60" w:afterAutospacing="0"/>
        <w:divId w:val="386102236"/>
        <w:rPr>
          <w:rFonts w:ascii="Calibri" w:hAnsi="Calibri" w:cs="Calibri"/>
          <w:color w:val="000000"/>
          <w:sz w:val="22"/>
          <w:szCs w:val="22"/>
        </w:rPr>
      </w:pPr>
      <w:r>
        <w:rPr>
          <w:rFonts w:ascii="Calibri" w:hAnsi="Calibri" w:cs="Calibri"/>
          <w:color w:val="000000"/>
          <w:sz w:val="22"/>
          <w:szCs w:val="22"/>
        </w:rPr>
        <w:t>Total anticipated funding for the requirement is spec</w:t>
      </w:r>
      <w:r w:rsidR="001F75F0">
        <w:rPr>
          <w:rFonts w:ascii="Calibri" w:hAnsi="Calibri" w:cs="Calibri"/>
          <w:color w:val="000000"/>
          <w:sz w:val="22"/>
          <w:szCs w:val="22"/>
        </w:rPr>
        <w:t>ified in RPP Section 2.3.</w:t>
      </w:r>
      <w:r w:rsidR="00E56ED2">
        <w:rPr>
          <w:rFonts w:ascii="Calibri" w:hAnsi="Calibri" w:cs="Calibri"/>
          <w:color w:val="000000"/>
          <w:sz w:val="22"/>
          <w:szCs w:val="22"/>
        </w:rPr>
        <w:t xml:space="preserve"> </w:t>
      </w:r>
      <w:r w:rsidR="005D5CC5">
        <w:rPr>
          <w:rFonts w:ascii="Calibri" w:hAnsi="Calibri" w:cs="Calibri"/>
          <w:color w:val="000000"/>
          <w:sz w:val="22"/>
          <w:szCs w:val="22"/>
        </w:rPr>
        <w:t>All other</w:t>
      </w:r>
      <w:r w:rsidR="001F75F0">
        <w:rPr>
          <w:rFonts w:ascii="Calibri" w:hAnsi="Calibri" w:cs="Calibri"/>
          <w:color w:val="000000"/>
          <w:sz w:val="22"/>
          <w:szCs w:val="22"/>
        </w:rPr>
        <w:t xml:space="preserve"> funding </w:t>
      </w:r>
      <w:r w:rsidR="009F48B2">
        <w:rPr>
          <w:rFonts w:ascii="Calibri" w:hAnsi="Calibri" w:cs="Calibri"/>
          <w:color w:val="000000"/>
          <w:sz w:val="22"/>
          <w:szCs w:val="22"/>
        </w:rPr>
        <w:t xml:space="preserve">details </w:t>
      </w:r>
      <w:r w:rsidR="005D5CC5">
        <w:rPr>
          <w:rFonts w:ascii="Calibri" w:hAnsi="Calibri" w:cs="Calibri"/>
          <w:color w:val="000000"/>
          <w:sz w:val="22"/>
          <w:szCs w:val="22"/>
        </w:rPr>
        <w:t>will be specified</w:t>
      </w:r>
      <w:r w:rsidR="00E56ED2">
        <w:rPr>
          <w:rFonts w:ascii="Calibri" w:hAnsi="Calibri" w:cs="Calibri"/>
          <w:color w:val="000000"/>
          <w:sz w:val="22"/>
          <w:szCs w:val="22"/>
        </w:rPr>
        <w:t xml:space="preserve"> </w:t>
      </w:r>
      <w:proofErr w:type="gramStart"/>
      <w:r w:rsidR="00E56ED2">
        <w:rPr>
          <w:rFonts w:ascii="Calibri" w:hAnsi="Calibri" w:cs="Calibri"/>
          <w:color w:val="000000"/>
          <w:sz w:val="22"/>
          <w:szCs w:val="22"/>
        </w:rPr>
        <w:t>on</w:t>
      </w:r>
      <w:proofErr w:type="gramEnd"/>
      <w:r w:rsidR="00E56ED2">
        <w:rPr>
          <w:rFonts w:ascii="Calibri" w:hAnsi="Calibri" w:cs="Calibri"/>
          <w:color w:val="000000"/>
          <w:sz w:val="22"/>
          <w:szCs w:val="22"/>
        </w:rPr>
        <w:t xml:space="preserve"> the Project Agreement</w:t>
      </w:r>
      <w:r w:rsidR="00FE120D">
        <w:rPr>
          <w:rFonts w:ascii="Calibri" w:hAnsi="Calibri" w:cs="Calibri"/>
          <w:color w:val="000000"/>
          <w:sz w:val="22"/>
          <w:szCs w:val="22"/>
        </w:rPr>
        <w:t xml:space="preserve">. </w:t>
      </w:r>
    </w:p>
    <w:p w14:paraId="4F076D71" w14:textId="77777777" w:rsidR="005F139E" w:rsidRDefault="00FE120D">
      <w:pPr>
        <w:pStyle w:val="q-text"/>
        <w:spacing w:before="60" w:beforeAutospacing="0"/>
        <w:divId w:val="1641694837"/>
        <w:rPr>
          <w:rFonts w:ascii="Calibri" w:hAnsi="Calibri" w:cs="Calibri"/>
          <w:color w:val="000000"/>
          <w:sz w:val="22"/>
          <w:szCs w:val="22"/>
        </w:rPr>
      </w:pPr>
      <w:r>
        <w:rPr>
          <w:rStyle w:val="q-num1"/>
          <w:rFonts w:ascii="Calibri" w:hAnsi="Calibri" w:cs="Calibri"/>
          <w:b/>
          <w:bCs/>
          <w:sz w:val="22"/>
          <w:szCs w:val="22"/>
        </w:rPr>
        <w:t>[124]</w:t>
      </w:r>
      <w:r>
        <w:rPr>
          <w:rFonts w:ascii="Calibri" w:hAnsi="Calibri" w:cs="Calibri"/>
          <w:color w:val="000000"/>
          <w:sz w:val="22"/>
          <w:szCs w:val="22"/>
        </w:rPr>
        <w:t xml:space="preserve"> Which Government obligations arise under the Project Agreement, and which survive a decision not to fund?</w:t>
      </w:r>
    </w:p>
    <w:p w14:paraId="6AFE54A0" w14:textId="75E6CD18" w:rsidR="005F139E" w:rsidRPr="0055455A" w:rsidRDefault="00F000E8" w:rsidP="00664DA0">
      <w:pPr>
        <w:pStyle w:val="a-text"/>
        <w:spacing w:after="60" w:afterAutospacing="0"/>
        <w:divId w:val="1641694837"/>
        <w:rPr>
          <w:rFonts w:ascii="Calibri" w:hAnsi="Calibri" w:cs="Calibri"/>
          <w:strike/>
          <w:color w:val="000000"/>
          <w:sz w:val="22"/>
          <w:szCs w:val="22"/>
        </w:rPr>
      </w:pPr>
      <w:r>
        <w:rPr>
          <w:rFonts w:ascii="Calibri" w:hAnsi="Calibri" w:cs="Calibri"/>
          <w:color w:val="000000"/>
          <w:sz w:val="22"/>
          <w:szCs w:val="22"/>
        </w:rPr>
        <w:t>The Project Agreements are anticipated to be fully funded.</w:t>
      </w:r>
      <w:r w:rsidR="00FE120D">
        <w:rPr>
          <w:rFonts w:ascii="Calibri" w:hAnsi="Calibri" w:cs="Calibri"/>
          <w:color w:val="000000"/>
          <w:sz w:val="22"/>
          <w:szCs w:val="22"/>
        </w:rPr>
        <w:t xml:space="preserve"> The Government declines to outline custom or variable funding commitments beyond stating its core obligation is to provide cost-reimbursable milestone payments up to the agreed federal share, contingent on successfully hitting technical gates in the IMS.</w:t>
      </w:r>
    </w:p>
    <w:p w14:paraId="3A017064" w14:textId="77777777" w:rsidR="005F139E" w:rsidRDefault="00FE120D">
      <w:pPr>
        <w:pStyle w:val="q-text"/>
        <w:spacing w:before="60" w:beforeAutospacing="0"/>
        <w:divId w:val="298844680"/>
        <w:rPr>
          <w:rFonts w:ascii="Calibri" w:hAnsi="Calibri" w:cs="Calibri"/>
          <w:color w:val="000000"/>
          <w:sz w:val="22"/>
          <w:szCs w:val="22"/>
        </w:rPr>
      </w:pPr>
      <w:r>
        <w:rPr>
          <w:rStyle w:val="q-num1"/>
          <w:rFonts w:ascii="Calibri" w:hAnsi="Calibri" w:cs="Calibri"/>
          <w:b/>
          <w:bCs/>
          <w:sz w:val="22"/>
          <w:szCs w:val="22"/>
        </w:rPr>
        <w:t>[130]</w:t>
      </w:r>
      <w:r>
        <w:rPr>
          <w:rFonts w:ascii="Calibri" w:hAnsi="Calibri" w:cs="Calibri"/>
          <w:color w:val="000000"/>
          <w:sz w:val="22"/>
          <w:szCs w:val="22"/>
        </w:rPr>
        <w:t xml:space="preserve"> Request for order of magnitude of funds the Government is prepared to invest, to approach outside sources for the required contribution.</w:t>
      </w:r>
    </w:p>
    <w:p w14:paraId="175845E3" w14:textId="02B9B54F" w:rsidR="004732C2" w:rsidRPr="00EC1063" w:rsidRDefault="00FE120D" w:rsidP="00EC1063">
      <w:pPr>
        <w:pStyle w:val="a-text"/>
        <w:spacing w:after="240" w:afterAutospacing="0"/>
        <w:divId w:val="298844680"/>
        <w:rPr>
          <w:rFonts w:ascii="Calibri" w:hAnsi="Calibri" w:cs="Calibri"/>
          <w:color w:val="000000"/>
          <w:sz w:val="22"/>
          <w:szCs w:val="22"/>
        </w:rPr>
      </w:pPr>
      <w:r>
        <w:rPr>
          <w:rFonts w:ascii="Calibri" w:hAnsi="Calibri" w:cs="Calibri"/>
          <w:color w:val="000000"/>
          <w:sz w:val="22"/>
          <w:szCs w:val="22"/>
        </w:rPr>
        <w:t xml:space="preserve">As specific funding is not identified, </w:t>
      </w:r>
      <w:r w:rsidR="003A53C1">
        <w:rPr>
          <w:rFonts w:ascii="Calibri" w:hAnsi="Calibri" w:cs="Calibri"/>
          <w:color w:val="000000"/>
          <w:sz w:val="22"/>
          <w:szCs w:val="22"/>
        </w:rPr>
        <w:t xml:space="preserve">respondents </w:t>
      </w:r>
      <w:r>
        <w:rPr>
          <w:rFonts w:ascii="Calibri" w:hAnsi="Calibri" w:cs="Calibri"/>
          <w:color w:val="000000"/>
          <w:sz w:val="22"/>
          <w:szCs w:val="22"/>
        </w:rPr>
        <w:t>are encouraged to propose budgets commensurate with the nature, scope, and complexity of the proposed project.</w:t>
      </w:r>
    </w:p>
    <w:p w14:paraId="3AF6776B" w14:textId="77777777" w:rsidR="005F139E" w:rsidRDefault="00FE120D">
      <w:pPr>
        <w:pStyle w:val="Heading2"/>
        <w:rPr>
          <w:rFonts w:ascii="Calibri" w:eastAsia="Times New Roman" w:hAnsi="Calibri" w:cs="Calibri"/>
        </w:rPr>
      </w:pPr>
      <w:r>
        <w:rPr>
          <w:rFonts w:ascii="Calibri" w:eastAsia="Times New Roman" w:hAnsi="Calibri" w:cs="Calibri"/>
        </w:rPr>
        <w:t>10. Number/Type of Awards &amp; Competition Structure</w:t>
      </w:r>
    </w:p>
    <w:p w14:paraId="1C5012D9" w14:textId="77777777" w:rsidR="00035118" w:rsidRDefault="00FE120D">
      <w:pPr>
        <w:pStyle w:val="q-text"/>
        <w:spacing w:before="60" w:beforeAutospacing="0" w:after="240"/>
        <w:divId w:val="84301291"/>
        <w:rPr>
          <w:rFonts w:ascii="Calibri" w:hAnsi="Calibri" w:cs="Calibri"/>
          <w:color w:val="000000"/>
          <w:sz w:val="22"/>
          <w:szCs w:val="22"/>
        </w:rPr>
      </w:pPr>
      <w:r>
        <w:rPr>
          <w:rStyle w:val="q-num1"/>
          <w:rFonts w:ascii="Calibri" w:hAnsi="Calibri" w:cs="Calibri"/>
          <w:b/>
          <w:bCs/>
          <w:sz w:val="22"/>
          <w:szCs w:val="22"/>
        </w:rPr>
        <w:t>[60]</w:t>
      </w:r>
      <w:r>
        <w:rPr>
          <w:rFonts w:ascii="Calibri" w:hAnsi="Calibri" w:cs="Calibri"/>
          <w:color w:val="000000"/>
          <w:sz w:val="22"/>
          <w:szCs w:val="22"/>
        </w:rPr>
        <w:t xml:space="preserve"> Does the Government anticipate a single award or multiple awards under this RPP?</w:t>
      </w:r>
    </w:p>
    <w:p w14:paraId="7993449F" w14:textId="3FC8FA7F" w:rsidR="005F139E" w:rsidRDefault="00FE120D" w:rsidP="0051689B">
      <w:pPr>
        <w:pStyle w:val="a-text"/>
        <w:spacing w:after="60" w:afterAutospacing="0"/>
        <w:rPr>
          <w:rFonts w:ascii="Calibri" w:eastAsia="Times New Roman" w:hAnsi="Calibri" w:cs="Calibri"/>
          <w:color w:val="000000"/>
          <w:sz w:val="22"/>
          <w:szCs w:val="22"/>
        </w:rPr>
      </w:pPr>
      <w:r>
        <w:rPr>
          <w:rFonts w:ascii="Calibri" w:hAnsi="Calibri" w:cs="Calibri"/>
          <w:color w:val="000000"/>
          <w:sz w:val="22"/>
          <w:szCs w:val="22"/>
        </w:rPr>
        <w:t>The Government anticipates making one or more awards under this RPP but reserves the right to make no awards.</w:t>
      </w:r>
    </w:p>
    <w:p w14:paraId="21BC92C2" w14:textId="77777777" w:rsidR="005F139E" w:rsidRDefault="00FE120D">
      <w:pPr>
        <w:pStyle w:val="Heading2"/>
        <w:rPr>
          <w:rFonts w:ascii="Calibri" w:eastAsia="Times New Roman" w:hAnsi="Calibri" w:cs="Calibri"/>
        </w:rPr>
      </w:pPr>
      <w:r>
        <w:rPr>
          <w:rFonts w:ascii="Calibri" w:eastAsia="Times New Roman" w:hAnsi="Calibri" w:cs="Calibri"/>
        </w:rPr>
        <w:t xml:space="preserve">11. Bonding / Letter of </w:t>
      </w:r>
      <w:proofErr w:type="spellStart"/>
      <w:r>
        <w:rPr>
          <w:rFonts w:ascii="Calibri" w:eastAsia="Times New Roman" w:hAnsi="Calibri" w:cs="Calibri"/>
        </w:rPr>
        <w:t>Bondability</w:t>
      </w:r>
      <w:proofErr w:type="spellEnd"/>
      <w:r>
        <w:rPr>
          <w:rFonts w:ascii="Calibri" w:eastAsia="Times New Roman" w:hAnsi="Calibri" w:cs="Calibri"/>
        </w:rPr>
        <w:t xml:space="preserve"> &amp; Surety</w:t>
      </w:r>
    </w:p>
    <w:p w14:paraId="5A56CDDA" w14:textId="77777777" w:rsidR="005F139E" w:rsidRDefault="00FE120D">
      <w:pPr>
        <w:pStyle w:val="q-text"/>
        <w:spacing w:before="60" w:beforeAutospacing="0"/>
        <w:divId w:val="1052189886"/>
        <w:rPr>
          <w:rFonts w:ascii="Calibri" w:hAnsi="Calibri" w:cs="Calibri"/>
          <w:color w:val="000000"/>
          <w:sz w:val="22"/>
          <w:szCs w:val="22"/>
        </w:rPr>
      </w:pPr>
      <w:r>
        <w:rPr>
          <w:rStyle w:val="q-num1"/>
          <w:rFonts w:ascii="Calibri" w:hAnsi="Calibri" w:cs="Calibri"/>
          <w:b/>
          <w:bCs/>
          <w:sz w:val="22"/>
          <w:szCs w:val="22"/>
        </w:rPr>
        <w:t>[20]</w:t>
      </w:r>
      <w:r>
        <w:rPr>
          <w:rFonts w:ascii="Calibri" w:hAnsi="Calibri" w:cs="Calibri"/>
          <w:color w:val="000000"/>
          <w:sz w:val="22"/>
          <w:szCs w:val="22"/>
        </w:rPr>
        <w:t xml:space="preserve"> What value should the surety use to establish bonding capacity — total project value, Government share, construction/equipment value, or another amount?</w:t>
      </w:r>
    </w:p>
    <w:p w14:paraId="4F2418EF" w14:textId="03A3C08F" w:rsidR="005F139E" w:rsidRDefault="00324B6D">
      <w:pPr>
        <w:pStyle w:val="a-text"/>
        <w:spacing w:after="60" w:afterAutospacing="0"/>
        <w:divId w:val="1052189886"/>
        <w:rPr>
          <w:rFonts w:ascii="Calibri" w:hAnsi="Calibri" w:cs="Calibri"/>
          <w:color w:val="000000"/>
          <w:sz w:val="22"/>
          <w:szCs w:val="22"/>
        </w:rPr>
      </w:pPr>
      <w:r w:rsidRPr="00324B6D">
        <w:rPr>
          <w:rFonts w:ascii="Calibri" w:hAnsi="Calibri" w:cs="Calibri"/>
          <w:color w:val="000000"/>
          <w:sz w:val="22"/>
          <w:szCs w:val="22"/>
        </w:rPr>
        <w:t xml:space="preserve">In accordance with RPP </w:t>
      </w:r>
      <w:r w:rsidR="00EA1668">
        <w:rPr>
          <w:rFonts w:ascii="Calibri" w:hAnsi="Calibri" w:cs="Calibri"/>
          <w:color w:val="000000"/>
          <w:sz w:val="22"/>
          <w:szCs w:val="22"/>
        </w:rPr>
        <w:t xml:space="preserve">Amendment 3, </w:t>
      </w:r>
      <w:r w:rsidRPr="00324B6D">
        <w:rPr>
          <w:rFonts w:ascii="Calibri" w:hAnsi="Calibri" w:cs="Calibri"/>
          <w:color w:val="000000"/>
          <w:sz w:val="22"/>
          <w:szCs w:val="22"/>
        </w:rPr>
        <w:t>Section 2.</w:t>
      </w:r>
      <w:r w:rsidR="00EA1668">
        <w:rPr>
          <w:rFonts w:ascii="Calibri" w:hAnsi="Calibri" w:cs="Calibri"/>
          <w:color w:val="000000"/>
          <w:sz w:val="22"/>
          <w:szCs w:val="22"/>
        </w:rPr>
        <w:t>5 Minimum Eligibility Criteria</w:t>
      </w:r>
      <w:r>
        <w:rPr>
          <w:rFonts w:ascii="Calibri" w:hAnsi="Calibri" w:cs="Calibri"/>
          <w:color w:val="000000"/>
          <w:sz w:val="22"/>
          <w:szCs w:val="22"/>
        </w:rPr>
        <w:t>, t</w:t>
      </w:r>
      <w:r w:rsidR="00FE120D">
        <w:rPr>
          <w:rFonts w:ascii="Calibri" w:hAnsi="Calibri" w:cs="Calibri"/>
          <w:color w:val="000000"/>
          <w:sz w:val="22"/>
          <w:szCs w:val="22"/>
        </w:rPr>
        <w:t xml:space="preserve">he surety must establish </w:t>
      </w:r>
      <w:proofErr w:type="spellStart"/>
      <w:r w:rsidR="00FE120D">
        <w:rPr>
          <w:rFonts w:ascii="Calibri" w:hAnsi="Calibri" w:cs="Calibri"/>
          <w:color w:val="000000"/>
          <w:sz w:val="22"/>
          <w:szCs w:val="22"/>
        </w:rPr>
        <w:t>bondability</w:t>
      </w:r>
      <w:proofErr w:type="spellEnd"/>
      <w:r w:rsidR="00FE120D">
        <w:rPr>
          <w:rFonts w:ascii="Calibri" w:hAnsi="Calibri" w:cs="Calibri"/>
          <w:color w:val="000000"/>
          <w:sz w:val="22"/>
          <w:szCs w:val="22"/>
        </w:rPr>
        <w:t xml:space="preserve"> for total project value</w:t>
      </w:r>
      <w:r>
        <w:rPr>
          <w:rFonts w:ascii="Calibri" w:hAnsi="Calibri" w:cs="Calibri"/>
          <w:color w:val="000000"/>
          <w:sz w:val="22"/>
          <w:szCs w:val="22"/>
        </w:rPr>
        <w:t>.</w:t>
      </w:r>
      <w:r w:rsidR="00FE120D">
        <w:rPr>
          <w:rFonts w:ascii="Calibri" w:hAnsi="Calibri" w:cs="Calibri"/>
          <w:color w:val="000000"/>
          <w:sz w:val="22"/>
          <w:szCs w:val="22"/>
        </w:rPr>
        <w:t xml:space="preserve"> </w:t>
      </w:r>
    </w:p>
    <w:p w14:paraId="36DD6284" w14:textId="77777777" w:rsidR="005F139E" w:rsidRDefault="00FE120D">
      <w:pPr>
        <w:pStyle w:val="q-text"/>
        <w:spacing w:before="60" w:beforeAutospacing="0"/>
        <w:divId w:val="258299517"/>
        <w:rPr>
          <w:rFonts w:ascii="Calibri" w:hAnsi="Calibri" w:cs="Calibri"/>
          <w:color w:val="000000"/>
          <w:sz w:val="22"/>
          <w:szCs w:val="22"/>
        </w:rPr>
      </w:pPr>
      <w:r>
        <w:rPr>
          <w:rStyle w:val="q-num1"/>
          <w:rFonts w:ascii="Calibri" w:hAnsi="Calibri" w:cs="Calibri"/>
          <w:b/>
          <w:bCs/>
          <w:sz w:val="22"/>
          <w:szCs w:val="22"/>
        </w:rPr>
        <w:t>[21]</w:t>
      </w:r>
      <w:r>
        <w:rPr>
          <w:rFonts w:ascii="Calibri" w:hAnsi="Calibri" w:cs="Calibri"/>
          <w:color w:val="000000"/>
          <w:sz w:val="22"/>
          <w:szCs w:val="22"/>
        </w:rPr>
        <w:t xml:space="preserve"> At proposal submission, is the Letter of </w:t>
      </w:r>
      <w:proofErr w:type="spellStart"/>
      <w:r>
        <w:rPr>
          <w:rFonts w:ascii="Calibri" w:hAnsi="Calibri" w:cs="Calibri"/>
          <w:color w:val="000000"/>
          <w:sz w:val="22"/>
          <w:szCs w:val="22"/>
        </w:rPr>
        <w:t>Bondability</w:t>
      </w:r>
      <w:proofErr w:type="spellEnd"/>
      <w:r>
        <w:rPr>
          <w:rFonts w:ascii="Calibri" w:hAnsi="Calibri" w:cs="Calibri"/>
          <w:color w:val="000000"/>
          <w:sz w:val="22"/>
          <w:szCs w:val="22"/>
        </w:rPr>
        <w:t xml:space="preserve"> intended only to demonstrate available bonding capacity, or will project-specific bonds be required before award/construction?</w:t>
      </w:r>
    </w:p>
    <w:p w14:paraId="661925B0" w14:textId="459A964C" w:rsidR="005F139E" w:rsidRPr="0055455A" w:rsidRDefault="00FE120D" w:rsidP="00664DA0">
      <w:pPr>
        <w:pStyle w:val="a-text"/>
        <w:spacing w:after="60" w:afterAutospacing="0"/>
        <w:divId w:val="258299517"/>
        <w:rPr>
          <w:rFonts w:ascii="Calibri" w:hAnsi="Calibri" w:cs="Calibri"/>
          <w:strike/>
          <w:color w:val="000000"/>
          <w:sz w:val="22"/>
          <w:szCs w:val="22"/>
        </w:rPr>
      </w:pPr>
      <w:r>
        <w:rPr>
          <w:rFonts w:ascii="Calibri" w:hAnsi="Calibri" w:cs="Calibri"/>
          <w:color w:val="000000"/>
          <w:sz w:val="22"/>
          <w:szCs w:val="22"/>
        </w:rPr>
        <w:t xml:space="preserve">At proposal submission, the Letter of </w:t>
      </w:r>
      <w:proofErr w:type="spellStart"/>
      <w:r>
        <w:rPr>
          <w:rFonts w:ascii="Calibri" w:hAnsi="Calibri" w:cs="Calibri"/>
          <w:color w:val="000000"/>
          <w:sz w:val="22"/>
          <w:szCs w:val="22"/>
        </w:rPr>
        <w:t>Bondability</w:t>
      </w:r>
      <w:proofErr w:type="spellEnd"/>
      <w:r>
        <w:rPr>
          <w:rFonts w:ascii="Calibri" w:hAnsi="Calibri" w:cs="Calibri"/>
          <w:color w:val="000000"/>
          <w:sz w:val="22"/>
          <w:szCs w:val="22"/>
        </w:rPr>
        <w:t xml:space="preserve"> is</w:t>
      </w:r>
      <w:r w:rsidR="007136F7">
        <w:rPr>
          <w:rFonts w:ascii="Calibri" w:hAnsi="Calibri" w:cs="Calibri"/>
          <w:color w:val="000000"/>
          <w:sz w:val="22"/>
          <w:szCs w:val="22"/>
        </w:rPr>
        <w:t xml:space="preserve"> </w:t>
      </w:r>
      <w:r w:rsidRPr="00F94720" w:rsidDel="007136F7">
        <w:rPr>
          <w:rFonts w:ascii="Calibri" w:hAnsi="Calibri" w:cs="Calibri"/>
          <w:color w:val="000000"/>
          <w:sz w:val="22"/>
          <w:szCs w:val="22"/>
        </w:rPr>
        <w:t>purely evaluative to prove capability.</w:t>
      </w:r>
      <w:r w:rsidDel="007136F7">
        <w:rPr>
          <w:rFonts w:ascii="Calibri" w:hAnsi="Calibri" w:cs="Calibri"/>
          <w:color w:val="000000"/>
          <w:sz w:val="22"/>
          <w:szCs w:val="22"/>
        </w:rPr>
        <w:t xml:space="preserve"> </w:t>
      </w:r>
      <w:r w:rsidR="007136F7">
        <w:rPr>
          <w:rFonts w:ascii="Calibri" w:hAnsi="Calibri" w:cs="Calibri"/>
          <w:color w:val="000000"/>
          <w:sz w:val="22"/>
          <w:szCs w:val="22"/>
        </w:rPr>
        <w:t xml:space="preserve"> </w:t>
      </w:r>
    </w:p>
    <w:p w14:paraId="6DC7B291" w14:textId="77777777" w:rsidR="005F139E" w:rsidRDefault="00FE120D">
      <w:pPr>
        <w:pStyle w:val="q-text"/>
        <w:spacing w:before="60" w:beforeAutospacing="0"/>
        <w:divId w:val="345248794"/>
        <w:rPr>
          <w:rFonts w:ascii="Calibri" w:hAnsi="Calibri" w:cs="Calibri"/>
          <w:color w:val="000000"/>
          <w:sz w:val="22"/>
          <w:szCs w:val="22"/>
        </w:rPr>
      </w:pPr>
      <w:r>
        <w:rPr>
          <w:rStyle w:val="q-num1"/>
          <w:rFonts w:ascii="Calibri" w:hAnsi="Calibri" w:cs="Calibri"/>
          <w:b/>
          <w:bCs/>
          <w:sz w:val="22"/>
          <w:szCs w:val="22"/>
        </w:rPr>
        <w:lastRenderedPageBreak/>
        <w:t>[66]</w:t>
      </w:r>
      <w:r>
        <w:rPr>
          <w:rFonts w:ascii="Calibri" w:hAnsi="Calibri" w:cs="Calibri"/>
          <w:color w:val="000000"/>
          <w:sz w:val="22"/>
          <w:szCs w:val="22"/>
        </w:rPr>
        <w:t xml:space="preserve"> Is the "</w:t>
      </w:r>
      <w:proofErr w:type="spellStart"/>
      <w:r>
        <w:rPr>
          <w:rFonts w:ascii="Calibri" w:hAnsi="Calibri" w:cs="Calibri"/>
          <w:color w:val="000000"/>
          <w:sz w:val="22"/>
          <w:szCs w:val="22"/>
        </w:rPr>
        <w:t>bondability</w:t>
      </w:r>
      <w:proofErr w:type="spellEnd"/>
      <w:r>
        <w:rPr>
          <w:rFonts w:ascii="Calibri" w:hAnsi="Calibri" w:cs="Calibri"/>
          <w:color w:val="000000"/>
          <w:sz w:val="22"/>
          <w:szCs w:val="22"/>
        </w:rPr>
        <w:t>" letter required only for the anticipated construction company, or also for the Performer (the entity submitting the proposal)?</w:t>
      </w:r>
    </w:p>
    <w:p w14:paraId="211A5884" w14:textId="28F20106" w:rsidR="005F139E" w:rsidRDefault="00435953">
      <w:pPr>
        <w:pStyle w:val="a-text"/>
        <w:spacing w:after="60" w:afterAutospacing="0"/>
        <w:divId w:val="345248794"/>
        <w:rPr>
          <w:rFonts w:ascii="Calibri" w:hAnsi="Calibri" w:cs="Calibri"/>
          <w:color w:val="000000"/>
          <w:sz w:val="22"/>
          <w:szCs w:val="22"/>
        </w:rPr>
      </w:pPr>
      <w:r w:rsidRPr="00435953">
        <w:rPr>
          <w:rFonts w:ascii="Calibri" w:hAnsi="Calibri" w:cs="Calibri"/>
          <w:color w:val="000000"/>
          <w:sz w:val="22"/>
          <w:szCs w:val="22"/>
        </w:rPr>
        <w:t>In accordance with</w:t>
      </w:r>
      <w:r w:rsidR="00EA1668">
        <w:rPr>
          <w:rFonts w:ascii="Calibri" w:hAnsi="Calibri" w:cs="Calibri"/>
          <w:color w:val="000000"/>
          <w:sz w:val="22"/>
          <w:szCs w:val="22"/>
        </w:rPr>
        <w:t xml:space="preserve"> </w:t>
      </w:r>
      <w:r w:rsidR="00EA1668" w:rsidRPr="00EA1668">
        <w:rPr>
          <w:rFonts w:ascii="Calibri" w:hAnsi="Calibri" w:cs="Calibri"/>
          <w:color w:val="000000"/>
          <w:sz w:val="22"/>
          <w:szCs w:val="22"/>
        </w:rPr>
        <w:t>RPP Section 2.5 Minimum Eligibility Criteria</w:t>
      </w:r>
      <w:r>
        <w:rPr>
          <w:rFonts w:ascii="Calibri" w:hAnsi="Calibri" w:cs="Calibri"/>
          <w:color w:val="000000"/>
          <w:sz w:val="22"/>
          <w:szCs w:val="22"/>
        </w:rPr>
        <w:t xml:space="preserve">, </w:t>
      </w:r>
      <w:r w:rsidR="003A2C12">
        <w:rPr>
          <w:rFonts w:ascii="Calibri" w:hAnsi="Calibri" w:cs="Calibri"/>
          <w:color w:val="000000"/>
          <w:sz w:val="22"/>
          <w:szCs w:val="22"/>
        </w:rPr>
        <w:t>t</w:t>
      </w:r>
      <w:r w:rsidR="00FE120D">
        <w:rPr>
          <w:rFonts w:ascii="Calibri" w:hAnsi="Calibri" w:cs="Calibri"/>
          <w:color w:val="000000"/>
          <w:sz w:val="22"/>
          <w:szCs w:val="22"/>
        </w:rPr>
        <w:t xml:space="preserve">he RPP explicitly requires the Performer to submit the letter of </w:t>
      </w:r>
      <w:proofErr w:type="spellStart"/>
      <w:r w:rsidR="00FE120D">
        <w:rPr>
          <w:rFonts w:ascii="Calibri" w:hAnsi="Calibri" w:cs="Calibri"/>
          <w:color w:val="000000"/>
          <w:sz w:val="22"/>
          <w:szCs w:val="22"/>
        </w:rPr>
        <w:t>bondability</w:t>
      </w:r>
      <w:proofErr w:type="spellEnd"/>
      <w:r w:rsidR="00FE120D">
        <w:rPr>
          <w:rFonts w:ascii="Calibri" w:hAnsi="Calibri" w:cs="Calibri"/>
          <w:color w:val="000000"/>
          <w:sz w:val="22"/>
          <w:szCs w:val="22"/>
        </w:rPr>
        <w:t>, specifying the Performer's bonding capacity and how much is available for the proposed project.</w:t>
      </w:r>
    </w:p>
    <w:p w14:paraId="0AC292E7" w14:textId="671E0AF5" w:rsidR="005F139E" w:rsidRDefault="00FE120D">
      <w:pPr>
        <w:pStyle w:val="q-text"/>
        <w:spacing w:before="60" w:beforeAutospacing="0"/>
        <w:divId w:val="830757530"/>
        <w:rPr>
          <w:rFonts w:ascii="Calibri" w:hAnsi="Calibri" w:cs="Calibri"/>
          <w:color w:val="000000"/>
          <w:sz w:val="22"/>
          <w:szCs w:val="22"/>
        </w:rPr>
      </w:pPr>
      <w:r>
        <w:rPr>
          <w:rStyle w:val="q-num1"/>
          <w:rFonts w:ascii="Calibri" w:hAnsi="Calibri" w:cs="Calibri"/>
          <w:b/>
          <w:bCs/>
          <w:sz w:val="22"/>
          <w:szCs w:val="22"/>
        </w:rPr>
        <w:t>[94]</w:t>
      </w:r>
      <w:r>
        <w:rPr>
          <w:rFonts w:ascii="Calibri" w:hAnsi="Calibri" w:cs="Calibri"/>
          <w:color w:val="000000"/>
          <w:sz w:val="22"/>
          <w:szCs w:val="22"/>
        </w:rPr>
        <w:t xml:space="preserve"> Requests</w:t>
      </w:r>
      <w:r w:rsidR="00EA1668">
        <w:rPr>
          <w:rFonts w:ascii="Calibri" w:hAnsi="Calibri" w:cs="Calibri"/>
          <w:color w:val="000000"/>
          <w:sz w:val="22"/>
          <w:szCs w:val="22"/>
        </w:rPr>
        <w:t xml:space="preserve"> </w:t>
      </w:r>
      <w:r>
        <w:rPr>
          <w:rFonts w:ascii="Calibri" w:hAnsi="Calibri" w:cs="Calibri"/>
          <w:color w:val="000000"/>
          <w:sz w:val="22"/>
          <w:szCs w:val="22"/>
        </w:rPr>
        <w:t xml:space="preserve">permit submission of a conditional/preliminary </w:t>
      </w:r>
      <w:proofErr w:type="spellStart"/>
      <w:r>
        <w:rPr>
          <w:rFonts w:ascii="Calibri" w:hAnsi="Calibri" w:cs="Calibri"/>
          <w:color w:val="000000"/>
          <w:sz w:val="22"/>
          <w:szCs w:val="22"/>
        </w:rPr>
        <w:t>bondability</w:t>
      </w:r>
      <w:proofErr w:type="spellEnd"/>
      <w:r>
        <w:rPr>
          <w:rFonts w:ascii="Calibri" w:hAnsi="Calibri" w:cs="Calibri"/>
          <w:color w:val="000000"/>
          <w:sz w:val="22"/>
          <w:szCs w:val="22"/>
        </w:rPr>
        <w:t xml:space="preserve"> commitment letter at deadline, with the definitive letter only required before award; permit </w:t>
      </w:r>
      <w:proofErr w:type="spellStart"/>
      <w:r>
        <w:rPr>
          <w:rFonts w:ascii="Calibri" w:hAnsi="Calibri" w:cs="Calibri"/>
          <w:color w:val="000000"/>
          <w:sz w:val="22"/>
          <w:szCs w:val="22"/>
        </w:rPr>
        <w:t>bondability</w:t>
      </w:r>
      <w:proofErr w:type="spellEnd"/>
      <w:r>
        <w:rPr>
          <w:rFonts w:ascii="Calibri" w:hAnsi="Calibri" w:cs="Calibri"/>
          <w:color w:val="000000"/>
          <w:sz w:val="22"/>
          <w:szCs w:val="22"/>
        </w:rPr>
        <w:t xml:space="preserve"> and customer commitment letters to be supplemented after the deadline; accept LOIs/MOUs/purchase history in place of six-month-dated commitment letters; confirm a proposal won't be eliminated solely for a third-party document dated outside the six-month window or submitted conditionally.</w:t>
      </w:r>
    </w:p>
    <w:p w14:paraId="658A5E50" w14:textId="2C864CA3" w:rsidR="005F139E" w:rsidRPr="0055455A" w:rsidRDefault="00EA1668" w:rsidP="00664DA0">
      <w:pPr>
        <w:pStyle w:val="a-text"/>
        <w:spacing w:after="60" w:afterAutospacing="0"/>
        <w:divId w:val="830757530"/>
        <w:rPr>
          <w:rFonts w:ascii="Calibri" w:hAnsi="Calibri" w:cs="Calibri"/>
          <w:strike/>
          <w:color w:val="000000"/>
          <w:sz w:val="22"/>
          <w:szCs w:val="22"/>
        </w:rPr>
      </w:pPr>
      <w:r w:rsidRPr="00EA1668">
        <w:rPr>
          <w:rFonts w:ascii="Calibri" w:hAnsi="Calibri" w:cs="Calibri"/>
          <w:color w:val="000000"/>
          <w:sz w:val="22"/>
          <w:szCs w:val="22"/>
        </w:rPr>
        <w:t>In accordance with RPP Section 2.5 Minimum Eligibility Criteria</w:t>
      </w:r>
      <w:r w:rsidR="00350206">
        <w:rPr>
          <w:rFonts w:ascii="Calibri" w:hAnsi="Calibri" w:cs="Calibri"/>
          <w:color w:val="000000"/>
          <w:sz w:val="22"/>
          <w:szCs w:val="22"/>
        </w:rPr>
        <w:t>, t</w:t>
      </w:r>
      <w:r w:rsidR="00FE120D">
        <w:rPr>
          <w:rFonts w:ascii="Calibri" w:hAnsi="Calibri" w:cs="Calibri"/>
          <w:color w:val="000000"/>
          <w:sz w:val="22"/>
          <w:szCs w:val="22"/>
        </w:rPr>
        <w:t xml:space="preserve">he RPP explicitly requires a non-conditional, evaluative Letter of </w:t>
      </w:r>
      <w:proofErr w:type="spellStart"/>
      <w:r w:rsidR="00FE120D">
        <w:rPr>
          <w:rFonts w:ascii="Calibri" w:hAnsi="Calibri" w:cs="Calibri"/>
          <w:color w:val="000000"/>
          <w:sz w:val="22"/>
          <w:szCs w:val="22"/>
        </w:rPr>
        <w:t>Bondability</w:t>
      </w:r>
      <w:proofErr w:type="spellEnd"/>
      <w:r w:rsidR="00FE120D">
        <w:rPr>
          <w:rFonts w:ascii="Calibri" w:hAnsi="Calibri" w:cs="Calibri"/>
          <w:color w:val="000000"/>
          <w:sz w:val="22"/>
          <w:szCs w:val="22"/>
        </w:rPr>
        <w:t xml:space="preserve"> submitted at the time of proposal submission, identifying precise bonding capacity. </w:t>
      </w:r>
    </w:p>
    <w:p w14:paraId="08511E53" w14:textId="77777777" w:rsidR="005F139E" w:rsidRDefault="00FE120D">
      <w:pPr>
        <w:pStyle w:val="q-text"/>
        <w:spacing w:before="60" w:beforeAutospacing="0"/>
        <w:divId w:val="1664384981"/>
        <w:rPr>
          <w:rFonts w:ascii="Calibri" w:hAnsi="Calibri" w:cs="Calibri"/>
          <w:color w:val="000000"/>
          <w:sz w:val="22"/>
          <w:szCs w:val="22"/>
        </w:rPr>
      </w:pPr>
      <w:r>
        <w:rPr>
          <w:rStyle w:val="q-num1"/>
          <w:rFonts w:ascii="Calibri" w:hAnsi="Calibri" w:cs="Calibri"/>
          <w:b/>
          <w:bCs/>
          <w:sz w:val="22"/>
          <w:szCs w:val="22"/>
        </w:rPr>
        <w:t>[101]</w:t>
      </w:r>
      <w:r>
        <w:rPr>
          <w:rFonts w:ascii="Calibri" w:hAnsi="Calibri" w:cs="Calibri"/>
          <w:color w:val="000000"/>
          <w:sz w:val="22"/>
          <w:szCs w:val="22"/>
        </w:rPr>
        <w:t xml:space="preserve"> What is sufficient to satisfy the </w:t>
      </w:r>
      <w:proofErr w:type="spellStart"/>
      <w:r>
        <w:rPr>
          <w:rFonts w:ascii="Calibri" w:hAnsi="Calibri" w:cs="Calibri"/>
          <w:color w:val="000000"/>
          <w:sz w:val="22"/>
          <w:szCs w:val="22"/>
        </w:rPr>
        <w:t>bondability</w:t>
      </w:r>
      <w:proofErr w:type="spellEnd"/>
      <w:r>
        <w:rPr>
          <w:rFonts w:ascii="Calibri" w:hAnsi="Calibri" w:cs="Calibri"/>
          <w:color w:val="000000"/>
          <w:sz w:val="22"/>
          <w:szCs w:val="22"/>
        </w:rPr>
        <w:t xml:space="preserve"> requirement at proposal stage — would a prequalification letter or a conditional "subject to underwriting" letter be acceptable?</w:t>
      </w:r>
    </w:p>
    <w:p w14:paraId="2B0501E9" w14:textId="2F3705C9" w:rsidR="005F139E" w:rsidRPr="0055455A" w:rsidRDefault="00FE120D" w:rsidP="00664DA0">
      <w:pPr>
        <w:pStyle w:val="a-text"/>
        <w:spacing w:after="60" w:afterAutospacing="0"/>
        <w:divId w:val="1664384981"/>
        <w:rPr>
          <w:rFonts w:ascii="Calibri" w:hAnsi="Calibri" w:cs="Calibri"/>
          <w:strike/>
          <w:color w:val="000000"/>
          <w:sz w:val="22"/>
          <w:szCs w:val="22"/>
        </w:rPr>
      </w:pPr>
      <w:r>
        <w:rPr>
          <w:rFonts w:ascii="Calibri" w:hAnsi="Calibri" w:cs="Calibri"/>
          <w:color w:val="000000"/>
          <w:sz w:val="22"/>
          <w:szCs w:val="22"/>
        </w:rPr>
        <w:t xml:space="preserve">A generic prequalification letter or a highly conditional letter does not satisfy the requirement. </w:t>
      </w:r>
    </w:p>
    <w:p w14:paraId="7A27247A" w14:textId="77777777" w:rsidR="005F139E" w:rsidRDefault="00FE120D">
      <w:pPr>
        <w:pStyle w:val="q-text"/>
        <w:spacing w:before="60" w:beforeAutospacing="0"/>
        <w:divId w:val="923992943"/>
        <w:rPr>
          <w:rFonts w:ascii="Calibri" w:hAnsi="Calibri" w:cs="Calibri"/>
          <w:color w:val="000000"/>
          <w:sz w:val="22"/>
          <w:szCs w:val="22"/>
        </w:rPr>
      </w:pPr>
      <w:r>
        <w:rPr>
          <w:rStyle w:val="q-num1"/>
          <w:rFonts w:ascii="Calibri" w:hAnsi="Calibri" w:cs="Calibri"/>
          <w:b/>
          <w:bCs/>
          <w:sz w:val="22"/>
          <w:szCs w:val="22"/>
        </w:rPr>
        <w:t>[102]</w:t>
      </w:r>
      <w:r>
        <w:rPr>
          <w:rFonts w:ascii="Calibri" w:hAnsi="Calibri" w:cs="Calibri"/>
          <w:color w:val="000000"/>
          <w:sz w:val="22"/>
          <w:szCs w:val="22"/>
        </w:rPr>
        <w:t xml:space="preserve"> Is bonding capacity assessed against total project value or only the Government-funded portion?</w:t>
      </w:r>
    </w:p>
    <w:p w14:paraId="44CAEF02" w14:textId="7B055A53" w:rsidR="005F139E" w:rsidRPr="00EC1063" w:rsidRDefault="00FE120D" w:rsidP="00EC1063">
      <w:pPr>
        <w:pStyle w:val="a-text"/>
        <w:spacing w:after="240" w:afterAutospacing="0"/>
        <w:divId w:val="923992943"/>
        <w:rPr>
          <w:rFonts w:ascii="Calibri" w:hAnsi="Calibri" w:cs="Calibri"/>
          <w:color w:val="000000"/>
          <w:sz w:val="22"/>
          <w:szCs w:val="22"/>
        </w:rPr>
      </w:pPr>
      <w:r>
        <w:rPr>
          <w:rFonts w:ascii="Calibri" w:hAnsi="Calibri" w:cs="Calibri"/>
          <w:color w:val="000000"/>
          <w:sz w:val="22"/>
          <w:szCs w:val="22"/>
        </w:rPr>
        <w:t>Bonding capacity must be assessed against the total project value, not just the Government-funded portion.</w:t>
      </w:r>
    </w:p>
    <w:p w14:paraId="38400AE0" w14:textId="77777777" w:rsidR="005F139E" w:rsidRDefault="00FE120D">
      <w:pPr>
        <w:pStyle w:val="Heading2"/>
        <w:rPr>
          <w:rFonts w:ascii="Calibri" w:eastAsia="Times New Roman" w:hAnsi="Calibri" w:cs="Calibri"/>
        </w:rPr>
      </w:pPr>
      <w:r>
        <w:rPr>
          <w:rFonts w:ascii="Calibri" w:eastAsia="Times New Roman" w:hAnsi="Calibri" w:cs="Calibri"/>
        </w:rPr>
        <w:t>12. Commercial Viability Plan, Customer Commitments &amp; Demand Data</w:t>
      </w:r>
    </w:p>
    <w:p w14:paraId="0BEE037A" w14:textId="77777777" w:rsidR="005F139E" w:rsidRDefault="00FE120D">
      <w:pPr>
        <w:pStyle w:val="q-text"/>
        <w:spacing w:before="60" w:beforeAutospacing="0"/>
        <w:divId w:val="797838759"/>
        <w:rPr>
          <w:rFonts w:ascii="Calibri" w:hAnsi="Calibri" w:cs="Calibri"/>
          <w:color w:val="000000"/>
          <w:sz w:val="22"/>
          <w:szCs w:val="22"/>
        </w:rPr>
      </w:pPr>
      <w:r>
        <w:rPr>
          <w:rStyle w:val="q-num1"/>
          <w:rFonts w:ascii="Calibri" w:hAnsi="Calibri" w:cs="Calibri"/>
          <w:b/>
          <w:bCs/>
          <w:sz w:val="22"/>
          <w:szCs w:val="22"/>
        </w:rPr>
        <w:t>[34]</w:t>
      </w:r>
      <w:r>
        <w:rPr>
          <w:rFonts w:ascii="Calibri" w:hAnsi="Calibri" w:cs="Calibri"/>
          <w:color w:val="000000"/>
          <w:sz w:val="22"/>
          <w:szCs w:val="22"/>
        </w:rPr>
        <w:t xml:space="preserve"> What standard of evidence is sufficient for the 10-year revenue projection and customer pipeline — are signed supply agreements, PO history, and LOIs sufficient?</w:t>
      </w:r>
    </w:p>
    <w:p w14:paraId="45081977" w14:textId="7CEDFEF1" w:rsidR="005F139E" w:rsidRPr="0055455A" w:rsidRDefault="008A54B7">
      <w:pPr>
        <w:pStyle w:val="a-text"/>
        <w:spacing w:after="60" w:afterAutospacing="0"/>
        <w:divId w:val="797838759"/>
        <w:rPr>
          <w:rFonts w:ascii="Calibri" w:hAnsi="Calibri" w:cs="Calibri"/>
          <w:strike/>
          <w:color w:val="000000"/>
          <w:sz w:val="22"/>
          <w:szCs w:val="22"/>
        </w:rPr>
      </w:pPr>
      <w:r>
        <w:rPr>
          <w:rFonts w:ascii="Calibri" w:hAnsi="Calibri" w:cs="Calibri"/>
          <w:color w:val="000000"/>
          <w:sz w:val="22"/>
          <w:szCs w:val="22"/>
        </w:rPr>
        <w:t xml:space="preserve">In accordance with </w:t>
      </w:r>
      <w:r w:rsidR="00E046BB" w:rsidRPr="00E046BB">
        <w:rPr>
          <w:rFonts w:ascii="Calibri" w:hAnsi="Calibri" w:cs="Calibri"/>
          <w:color w:val="000000"/>
          <w:sz w:val="22"/>
          <w:szCs w:val="22"/>
        </w:rPr>
        <w:t>Attachment A to the RPP Section 2.1.2.4</w:t>
      </w:r>
      <w:r w:rsidR="008857BC">
        <w:rPr>
          <w:rFonts w:ascii="Calibri" w:hAnsi="Calibri" w:cs="Calibri"/>
          <w:color w:val="000000"/>
          <w:sz w:val="22"/>
          <w:szCs w:val="22"/>
        </w:rPr>
        <w:t xml:space="preserve"> </w:t>
      </w:r>
      <w:r w:rsidR="00FE120D">
        <w:rPr>
          <w:rFonts w:ascii="Calibri" w:hAnsi="Calibri" w:cs="Calibri"/>
          <w:color w:val="000000"/>
          <w:sz w:val="22"/>
          <w:szCs w:val="22"/>
        </w:rPr>
        <w:t xml:space="preserve">the government accepts letters of commitment, signed supply agreements, or letters of intent from retailers/distributors dated within the last six months. </w:t>
      </w:r>
    </w:p>
    <w:p w14:paraId="62C5C245" w14:textId="77777777" w:rsidR="005F139E" w:rsidRDefault="00FE120D">
      <w:pPr>
        <w:pStyle w:val="q-text"/>
        <w:spacing w:before="60" w:beforeAutospacing="0"/>
        <w:divId w:val="968052815"/>
        <w:rPr>
          <w:rFonts w:ascii="Calibri" w:hAnsi="Calibri" w:cs="Calibri"/>
          <w:color w:val="000000"/>
          <w:sz w:val="22"/>
          <w:szCs w:val="22"/>
        </w:rPr>
      </w:pPr>
      <w:r>
        <w:rPr>
          <w:rStyle w:val="q-num1"/>
          <w:rFonts w:ascii="Calibri" w:hAnsi="Calibri" w:cs="Calibri"/>
          <w:b/>
          <w:bCs/>
          <w:sz w:val="22"/>
          <w:szCs w:val="22"/>
        </w:rPr>
        <w:t>[58]</w:t>
      </w:r>
      <w:r>
        <w:rPr>
          <w:rFonts w:ascii="Calibri" w:hAnsi="Calibri" w:cs="Calibri"/>
          <w:color w:val="000000"/>
          <w:sz w:val="22"/>
          <w:szCs w:val="22"/>
        </w:rPr>
        <w:t xml:space="preserve"> Are non-binding letters of intent with indicative volumes and pricing acceptable as the customer letters of commitment required by Section 2.1.2.4?</w:t>
      </w:r>
    </w:p>
    <w:p w14:paraId="57BABB50" w14:textId="59668716" w:rsidR="005F139E" w:rsidRPr="0055455A" w:rsidRDefault="00BD7472" w:rsidP="00664DA0">
      <w:pPr>
        <w:pStyle w:val="a-text"/>
        <w:spacing w:after="60" w:afterAutospacing="0"/>
        <w:divId w:val="968052815"/>
        <w:rPr>
          <w:rFonts w:ascii="Calibri" w:hAnsi="Calibri" w:cs="Calibri"/>
          <w:strike/>
          <w:color w:val="000000"/>
          <w:sz w:val="22"/>
          <w:szCs w:val="22"/>
        </w:rPr>
      </w:pPr>
      <w:r w:rsidRPr="00BD7472">
        <w:rPr>
          <w:rFonts w:ascii="Calibri" w:hAnsi="Calibri" w:cs="Calibri"/>
          <w:color w:val="000000"/>
          <w:sz w:val="22"/>
          <w:szCs w:val="22"/>
        </w:rPr>
        <w:t>Attachment A to the RPP</w:t>
      </w:r>
      <w:r w:rsidR="00FE120D">
        <w:rPr>
          <w:rFonts w:ascii="Calibri" w:hAnsi="Calibri" w:cs="Calibri"/>
          <w:color w:val="000000"/>
          <w:sz w:val="22"/>
          <w:szCs w:val="22"/>
        </w:rPr>
        <w:t xml:space="preserve"> Section 2.1.2.4 strictly requires letters of commitment dated within the last six months that demonstrate profitability from prospective customers. </w:t>
      </w:r>
    </w:p>
    <w:p w14:paraId="31B0DBA2" w14:textId="77777777" w:rsidR="005F139E" w:rsidRDefault="00FE120D">
      <w:pPr>
        <w:pStyle w:val="q-text"/>
        <w:spacing w:before="60" w:beforeAutospacing="0"/>
        <w:divId w:val="377705157"/>
        <w:rPr>
          <w:rFonts w:ascii="Calibri" w:hAnsi="Calibri" w:cs="Calibri"/>
          <w:color w:val="000000"/>
          <w:sz w:val="22"/>
          <w:szCs w:val="22"/>
        </w:rPr>
      </w:pPr>
      <w:r>
        <w:rPr>
          <w:rStyle w:val="q-num1"/>
          <w:rFonts w:ascii="Calibri" w:hAnsi="Calibri" w:cs="Calibri"/>
          <w:b/>
          <w:bCs/>
          <w:sz w:val="22"/>
          <w:szCs w:val="22"/>
        </w:rPr>
        <w:t>[95]</w:t>
      </w:r>
      <w:r>
        <w:rPr>
          <w:rFonts w:ascii="Calibri" w:hAnsi="Calibri" w:cs="Calibri"/>
          <w:color w:val="000000"/>
          <w:sz w:val="22"/>
          <w:szCs w:val="22"/>
        </w:rPr>
        <w:t xml:space="preserve"> Do existing MOUs, LOIs, master distribution agreements, or standing supply agreements satisfy this requirement, and can six-month recency be satisfied by a current letter referencing an existing relationship?</w:t>
      </w:r>
    </w:p>
    <w:p w14:paraId="68E69B15" w14:textId="6EFC200D" w:rsidR="005F139E" w:rsidRPr="0055455A" w:rsidRDefault="00FE120D" w:rsidP="00664DA0">
      <w:pPr>
        <w:pStyle w:val="a-text"/>
        <w:spacing w:after="60" w:afterAutospacing="0"/>
        <w:divId w:val="377705157"/>
        <w:rPr>
          <w:rFonts w:ascii="Calibri" w:hAnsi="Calibri" w:cs="Calibri"/>
          <w:strike/>
          <w:color w:val="000000"/>
          <w:sz w:val="22"/>
          <w:szCs w:val="22"/>
        </w:rPr>
      </w:pPr>
      <w:r>
        <w:rPr>
          <w:rFonts w:ascii="Calibri" w:hAnsi="Calibri" w:cs="Calibri"/>
          <w:color w:val="000000"/>
          <w:sz w:val="22"/>
          <w:szCs w:val="22"/>
        </w:rPr>
        <w:t xml:space="preserve">Pre-existing, historical, or open-ended agreements do not automatically satisfy the solicitation. </w:t>
      </w:r>
    </w:p>
    <w:p w14:paraId="71D86E89" w14:textId="77777777" w:rsidR="005F139E" w:rsidRDefault="00FE120D">
      <w:pPr>
        <w:pStyle w:val="q-text"/>
        <w:spacing w:before="60" w:beforeAutospacing="0"/>
        <w:divId w:val="1619532181"/>
        <w:rPr>
          <w:rFonts w:ascii="Calibri" w:hAnsi="Calibri" w:cs="Calibri"/>
          <w:color w:val="000000"/>
          <w:sz w:val="22"/>
          <w:szCs w:val="22"/>
        </w:rPr>
      </w:pPr>
      <w:r>
        <w:rPr>
          <w:rStyle w:val="q-num1"/>
          <w:rFonts w:ascii="Calibri" w:hAnsi="Calibri" w:cs="Calibri"/>
          <w:b/>
          <w:bCs/>
          <w:sz w:val="22"/>
          <w:szCs w:val="22"/>
        </w:rPr>
        <w:t>[109]</w:t>
      </w:r>
      <w:r>
        <w:rPr>
          <w:rFonts w:ascii="Calibri" w:hAnsi="Calibri" w:cs="Calibri"/>
          <w:color w:val="000000"/>
          <w:sz w:val="22"/>
          <w:szCs w:val="22"/>
        </w:rPr>
        <w:t xml:space="preserve"> Does the four-page limit for the Commercial Viability Plan apply to the narrative only, with the financial model/scenario/sensitivity analysis as an appendix outside the count?</w:t>
      </w:r>
    </w:p>
    <w:p w14:paraId="478D027C" w14:textId="5F1DB12F" w:rsidR="005F139E" w:rsidRDefault="00FE120D">
      <w:pPr>
        <w:pStyle w:val="a-text"/>
        <w:spacing w:after="60" w:afterAutospacing="0"/>
        <w:divId w:val="1619532181"/>
        <w:rPr>
          <w:rFonts w:ascii="Calibri" w:hAnsi="Calibri" w:cs="Calibri"/>
          <w:color w:val="000000"/>
          <w:sz w:val="22"/>
          <w:szCs w:val="22"/>
        </w:rPr>
      </w:pPr>
      <w:r>
        <w:rPr>
          <w:rFonts w:ascii="Calibri" w:hAnsi="Calibri" w:cs="Calibri"/>
          <w:color w:val="000000"/>
          <w:sz w:val="22"/>
          <w:szCs w:val="22"/>
        </w:rPr>
        <w:t xml:space="preserve">The Commercial Viability Plan in its entirety </w:t>
      </w:r>
      <w:r w:rsidR="00391985">
        <w:rPr>
          <w:rFonts w:ascii="Calibri" w:hAnsi="Calibri" w:cs="Calibri"/>
          <w:color w:val="000000"/>
          <w:sz w:val="22"/>
          <w:szCs w:val="22"/>
        </w:rPr>
        <w:t>must not exceed</w:t>
      </w:r>
      <w:r>
        <w:rPr>
          <w:rFonts w:ascii="Calibri" w:hAnsi="Calibri" w:cs="Calibri"/>
          <w:color w:val="000000"/>
          <w:sz w:val="22"/>
          <w:szCs w:val="22"/>
        </w:rPr>
        <w:t xml:space="preserve"> 4 pages</w:t>
      </w:r>
      <w:r w:rsidR="00E84DFD">
        <w:rPr>
          <w:rFonts w:ascii="Calibri" w:hAnsi="Calibri" w:cs="Calibri"/>
          <w:color w:val="000000"/>
          <w:sz w:val="22"/>
          <w:szCs w:val="22"/>
        </w:rPr>
        <w:t xml:space="preserve"> in accordance with </w:t>
      </w:r>
      <w:r w:rsidR="00CE15F9" w:rsidRPr="00CE15F9">
        <w:rPr>
          <w:rFonts w:ascii="Calibri" w:hAnsi="Calibri" w:cs="Calibri"/>
          <w:color w:val="000000"/>
          <w:sz w:val="22"/>
          <w:szCs w:val="22"/>
        </w:rPr>
        <w:t>Deliverable No. 19 of Attachment A to the RPP</w:t>
      </w:r>
      <w:r>
        <w:rPr>
          <w:rFonts w:ascii="Calibri" w:hAnsi="Calibri" w:cs="Calibri"/>
          <w:color w:val="000000"/>
          <w:sz w:val="22"/>
          <w:szCs w:val="22"/>
        </w:rPr>
        <w:t>.</w:t>
      </w:r>
    </w:p>
    <w:p w14:paraId="2BD9CA73" w14:textId="11234792" w:rsidR="005F139E" w:rsidRDefault="00FE120D">
      <w:pPr>
        <w:pStyle w:val="q-text"/>
        <w:spacing w:before="60" w:beforeAutospacing="0"/>
        <w:divId w:val="75060840"/>
        <w:rPr>
          <w:rFonts w:ascii="Calibri" w:hAnsi="Calibri" w:cs="Calibri"/>
          <w:color w:val="000000"/>
          <w:sz w:val="22"/>
          <w:szCs w:val="22"/>
        </w:rPr>
      </w:pPr>
      <w:r>
        <w:rPr>
          <w:rStyle w:val="q-num1"/>
          <w:rFonts w:ascii="Calibri" w:hAnsi="Calibri" w:cs="Calibri"/>
          <w:b/>
          <w:bCs/>
          <w:sz w:val="22"/>
          <w:szCs w:val="22"/>
        </w:rPr>
        <w:t>[115]</w:t>
      </w:r>
      <w:r>
        <w:rPr>
          <w:rFonts w:ascii="Calibri" w:hAnsi="Calibri" w:cs="Calibri"/>
          <w:color w:val="000000"/>
          <w:sz w:val="22"/>
          <w:szCs w:val="22"/>
        </w:rPr>
        <w:t xml:space="preserve"> Request for the Government's projected 10-year federal/private demand, product composition of each demand total, derivation of the 15 billion glove figure, and requirements analysis behind product characteristics; if unavailable, request for the demand/product/price assumptions </w:t>
      </w:r>
      <w:r w:rsidR="00CF17A9">
        <w:rPr>
          <w:rFonts w:ascii="Calibri" w:hAnsi="Calibri" w:cs="Calibri"/>
          <w:color w:val="000000"/>
          <w:sz w:val="22"/>
          <w:szCs w:val="22"/>
        </w:rPr>
        <w:t>Respondents</w:t>
      </w:r>
      <w:r>
        <w:rPr>
          <w:rFonts w:ascii="Calibri" w:hAnsi="Calibri" w:cs="Calibri"/>
          <w:color w:val="000000"/>
          <w:sz w:val="22"/>
          <w:szCs w:val="22"/>
        </w:rPr>
        <w:t xml:space="preserve"> should use.</w:t>
      </w:r>
    </w:p>
    <w:p w14:paraId="5D385A78" w14:textId="03F5CBDB" w:rsidR="005F139E" w:rsidRPr="0055455A" w:rsidRDefault="00FE120D" w:rsidP="00664DA0">
      <w:pPr>
        <w:pStyle w:val="a-text"/>
        <w:spacing w:after="60" w:afterAutospacing="0"/>
        <w:divId w:val="75060840"/>
        <w:rPr>
          <w:rFonts w:ascii="Calibri" w:hAnsi="Calibri" w:cs="Calibri"/>
          <w:strike/>
          <w:color w:val="000000"/>
          <w:sz w:val="22"/>
          <w:szCs w:val="22"/>
        </w:rPr>
      </w:pPr>
      <w:r>
        <w:rPr>
          <w:rFonts w:ascii="Calibri" w:hAnsi="Calibri" w:cs="Calibri"/>
          <w:color w:val="000000"/>
          <w:sz w:val="22"/>
          <w:szCs w:val="22"/>
        </w:rPr>
        <w:t xml:space="preserve">Performers must rely on their own independent, validated commercial data. </w:t>
      </w:r>
    </w:p>
    <w:p w14:paraId="55F38C61" w14:textId="26168A9A" w:rsidR="005F139E" w:rsidRDefault="00FE120D">
      <w:pPr>
        <w:pStyle w:val="q-text"/>
        <w:spacing w:before="60" w:beforeAutospacing="0"/>
        <w:divId w:val="1766463358"/>
        <w:rPr>
          <w:rFonts w:ascii="Calibri" w:hAnsi="Calibri" w:cs="Calibri"/>
          <w:color w:val="000000"/>
          <w:sz w:val="22"/>
          <w:szCs w:val="22"/>
        </w:rPr>
      </w:pPr>
      <w:r>
        <w:rPr>
          <w:rStyle w:val="q-num1"/>
          <w:rFonts w:ascii="Calibri" w:hAnsi="Calibri" w:cs="Calibri"/>
          <w:b/>
          <w:bCs/>
          <w:sz w:val="22"/>
          <w:szCs w:val="22"/>
        </w:rPr>
        <w:t>[119]</w:t>
      </w:r>
      <w:r>
        <w:rPr>
          <w:rFonts w:ascii="Calibri" w:hAnsi="Calibri" w:cs="Calibri"/>
          <w:color w:val="000000"/>
          <w:sz w:val="22"/>
          <w:szCs w:val="22"/>
        </w:rPr>
        <w:t xml:space="preserve"> Status of the Section 232 investigation into PPE imports; applicable tariff treatment for imported gloves in the 4-5 mil range; interim assumptions </w:t>
      </w:r>
      <w:r w:rsidR="00CF17A9">
        <w:rPr>
          <w:rFonts w:ascii="Calibri" w:hAnsi="Calibri" w:cs="Calibri"/>
          <w:color w:val="000000"/>
          <w:sz w:val="22"/>
          <w:szCs w:val="22"/>
        </w:rPr>
        <w:t>Respondents</w:t>
      </w:r>
      <w:r>
        <w:rPr>
          <w:rFonts w:ascii="Calibri" w:hAnsi="Calibri" w:cs="Calibri"/>
          <w:color w:val="000000"/>
          <w:sz w:val="22"/>
          <w:szCs w:val="22"/>
        </w:rPr>
        <w:t xml:space="preserve"> may use in the financial model.</w:t>
      </w:r>
    </w:p>
    <w:p w14:paraId="7B5D3675" w14:textId="4D34C9AE" w:rsidR="005F139E" w:rsidRDefault="00FE120D" w:rsidP="00664DA0">
      <w:pPr>
        <w:pStyle w:val="a-text"/>
        <w:spacing w:after="60" w:afterAutospacing="0"/>
        <w:divId w:val="1766463358"/>
        <w:rPr>
          <w:rFonts w:ascii="Calibri" w:hAnsi="Calibri" w:cs="Calibri"/>
          <w:color w:val="000000"/>
          <w:sz w:val="22"/>
          <w:szCs w:val="22"/>
        </w:rPr>
      </w:pPr>
      <w:r>
        <w:rPr>
          <w:rFonts w:ascii="Calibri" w:hAnsi="Calibri" w:cs="Calibri"/>
          <w:color w:val="000000"/>
          <w:sz w:val="22"/>
          <w:szCs w:val="22"/>
        </w:rPr>
        <w:t xml:space="preserve">The Government declines to speculate on or provide interim reporting </w:t>
      </w:r>
      <w:r w:rsidR="00587F01">
        <w:rPr>
          <w:rFonts w:ascii="Calibri" w:hAnsi="Calibri" w:cs="Calibri"/>
          <w:color w:val="000000"/>
          <w:sz w:val="22"/>
          <w:szCs w:val="22"/>
        </w:rPr>
        <w:t>on Section 232 investigations</w:t>
      </w:r>
      <w:r w:rsidR="00785258">
        <w:rPr>
          <w:rFonts w:ascii="Calibri" w:hAnsi="Calibri" w:cs="Calibri"/>
          <w:color w:val="000000"/>
          <w:sz w:val="22"/>
          <w:szCs w:val="22"/>
        </w:rPr>
        <w:t>,</w:t>
      </w:r>
      <w:r w:rsidR="007B2C02">
        <w:rPr>
          <w:rFonts w:ascii="Calibri" w:hAnsi="Calibri" w:cs="Calibri"/>
          <w:color w:val="000000"/>
          <w:sz w:val="22"/>
          <w:szCs w:val="22"/>
        </w:rPr>
        <w:t xml:space="preserve"> tariff </w:t>
      </w:r>
      <w:r w:rsidR="003F31C1">
        <w:rPr>
          <w:rFonts w:ascii="Calibri" w:hAnsi="Calibri" w:cs="Calibri"/>
          <w:color w:val="000000"/>
          <w:sz w:val="22"/>
          <w:szCs w:val="22"/>
        </w:rPr>
        <w:t>treatment for imported gloves</w:t>
      </w:r>
      <w:r w:rsidR="00785258">
        <w:rPr>
          <w:rFonts w:ascii="Calibri" w:hAnsi="Calibri" w:cs="Calibri"/>
          <w:color w:val="000000"/>
          <w:sz w:val="22"/>
          <w:szCs w:val="22"/>
        </w:rPr>
        <w:t xml:space="preserve"> or interim assumptions</w:t>
      </w:r>
      <w:r w:rsidR="00587F01">
        <w:rPr>
          <w:rFonts w:ascii="Calibri" w:hAnsi="Calibri" w:cs="Calibri"/>
          <w:color w:val="000000"/>
          <w:sz w:val="22"/>
          <w:szCs w:val="22"/>
        </w:rPr>
        <w:t xml:space="preserve">. </w:t>
      </w:r>
    </w:p>
    <w:p w14:paraId="41FF22CF" w14:textId="77777777" w:rsidR="005F139E" w:rsidRDefault="00FE120D">
      <w:pPr>
        <w:pStyle w:val="q-text"/>
        <w:spacing w:before="60" w:beforeAutospacing="0"/>
        <w:divId w:val="1486703630"/>
        <w:rPr>
          <w:rFonts w:ascii="Calibri" w:hAnsi="Calibri" w:cs="Calibri"/>
          <w:color w:val="000000"/>
          <w:sz w:val="22"/>
          <w:szCs w:val="22"/>
        </w:rPr>
      </w:pPr>
      <w:r>
        <w:rPr>
          <w:rStyle w:val="q-num1"/>
          <w:rFonts w:ascii="Calibri" w:hAnsi="Calibri" w:cs="Calibri"/>
          <w:b/>
          <w:bCs/>
          <w:sz w:val="22"/>
          <w:szCs w:val="22"/>
        </w:rPr>
        <w:lastRenderedPageBreak/>
        <w:t>[120]</w:t>
      </w:r>
      <w:r>
        <w:rPr>
          <w:rFonts w:ascii="Calibri" w:hAnsi="Calibri" w:cs="Calibri"/>
          <w:color w:val="000000"/>
          <w:sz w:val="22"/>
          <w:szCs w:val="22"/>
        </w:rPr>
        <w:t xml:space="preserve"> Request for pricing/demand/protection assumptions for the required ±30% sensitivity analysis; base-year price per glove, feedstock price series, and interest rate curve; treatment of a downside scenario that doesn't resolve to viability; confirmation of the annual production volume basis for the 10-year model.</w:t>
      </w:r>
    </w:p>
    <w:p w14:paraId="73E74639" w14:textId="6E906FB1" w:rsidR="005F139E" w:rsidRDefault="00FE120D" w:rsidP="00664DA0">
      <w:pPr>
        <w:pStyle w:val="a-text"/>
        <w:spacing w:after="60" w:afterAutospacing="0"/>
        <w:divId w:val="1486703630"/>
        <w:rPr>
          <w:rFonts w:ascii="Calibri" w:hAnsi="Calibri" w:cs="Calibri"/>
          <w:color w:val="000000"/>
          <w:sz w:val="22"/>
          <w:szCs w:val="22"/>
        </w:rPr>
      </w:pPr>
      <w:r>
        <w:rPr>
          <w:rFonts w:ascii="Calibri" w:hAnsi="Calibri" w:cs="Calibri"/>
          <w:color w:val="000000"/>
          <w:sz w:val="22"/>
          <w:szCs w:val="22"/>
        </w:rPr>
        <w:t>The Government explicitly declines to provide a set macro-economic baseline or price tracking curve</w:t>
      </w:r>
      <w:r w:rsidR="004732C2">
        <w:rPr>
          <w:rFonts w:ascii="Calibri" w:hAnsi="Calibri" w:cs="Calibri"/>
          <w:color w:val="000000"/>
          <w:sz w:val="22"/>
          <w:szCs w:val="22"/>
        </w:rPr>
        <w:t>.</w:t>
      </w:r>
      <w:r>
        <w:rPr>
          <w:rFonts w:ascii="Calibri" w:hAnsi="Calibri" w:cs="Calibri"/>
          <w:color w:val="000000"/>
          <w:sz w:val="22"/>
          <w:szCs w:val="22"/>
        </w:rPr>
        <w:t xml:space="preserve"> </w:t>
      </w:r>
    </w:p>
    <w:p w14:paraId="0A7DEF8C" w14:textId="77777777" w:rsidR="005F139E" w:rsidRDefault="00FE120D">
      <w:pPr>
        <w:pStyle w:val="q-text"/>
        <w:spacing w:before="60" w:beforeAutospacing="0"/>
        <w:divId w:val="1723215626"/>
        <w:rPr>
          <w:rFonts w:ascii="Calibri" w:hAnsi="Calibri" w:cs="Calibri"/>
          <w:color w:val="000000"/>
          <w:sz w:val="22"/>
          <w:szCs w:val="22"/>
        </w:rPr>
      </w:pPr>
      <w:r>
        <w:rPr>
          <w:rStyle w:val="q-num1"/>
          <w:rFonts w:ascii="Calibri" w:hAnsi="Calibri" w:cs="Calibri"/>
          <w:b/>
          <w:bCs/>
          <w:sz w:val="22"/>
          <w:szCs w:val="22"/>
        </w:rPr>
        <w:t>[133]</w:t>
      </w:r>
      <w:r>
        <w:rPr>
          <w:rFonts w:ascii="Calibri" w:hAnsi="Calibri" w:cs="Calibri"/>
          <w:color w:val="000000"/>
          <w:sz w:val="22"/>
          <w:szCs w:val="22"/>
        </w:rPr>
        <w:t xml:space="preserve"> How does the requirement to demonstrate viability without government purchase orders operate alongside the 10-year priority access obligation? Would the Government consider revising to allow reflecting reasonably anticipated government demand?</w:t>
      </w:r>
    </w:p>
    <w:p w14:paraId="1C5B84A2" w14:textId="1F5576AD" w:rsidR="005F139E" w:rsidRDefault="003A53C1">
      <w:pPr>
        <w:pStyle w:val="a-text"/>
        <w:spacing w:after="60" w:afterAutospacing="0"/>
        <w:divId w:val="1723215626"/>
        <w:rPr>
          <w:rFonts w:ascii="Calibri" w:hAnsi="Calibri" w:cs="Calibri"/>
          <w:color w:val="000000"/>
          <w:sz w:val="22"/>
          <w:szCs w:val="22"/>
        </w:rPr>
      </w:pPr>
      <w:r>
        <w:rPr>
          <w:rFonts w:ascii="Calibri" w:hAnsi="Calibri" w:cs="Calibri"/>
          <w:color w:val="000000"/>
          <w:sz w:val="22"/>
          <w:szCs w:val="22"/>
        </w:rPr>
        <w:t>In</w:t>
      </w:r>
      <w:r w:rsidR="00CE69F8" w:rsidRPr="00CE69F8">
        <w:rPr>
          <w:rFonts w:ascii="Calibri" w:hAnsi="Calibri" w:cs="Calibri"/>
          <w:color w:val="000000"/>
          <w:sz w:val="22"/>
          <w:szCs w:val="22"/>
        </w:rPr>
        <w:t xml:space="preserve"> accordance with Section 2.1.2.</w:t>
      </w:r>
      <w:r w:rsidR="00445902">
        <w:rPr>
          <w:rFonts w:ascii="Calibri" w:hAnsi="Calibri" w:cs="Calibri"/>
          <w:color w:val="000000"/>
          <w:sz w:val="22"/>
          <w:szCs w:val="22"/>
        </w:rPr>
        <w:t>4</w:t>
      </w:r>
      <w:r w:rsidR="00CE69F8" w:rsidRPr="00CE69F8">
        <w:rPr>
          <w:rFonts w:ascii="Calibri" w:hAnsi="Calibri" w:cs="Calibri"/>
          <w:color w:val="000000"/>
          <w:sz w:val="22"/>
          <w:szCs w:val="22"/>
        </w:rPr>
        <w:t xml:space="preserve"> and Deliverable No. 19 of Attachment A to the RPP</w:t>
      </w:r>
      <w:r w:rsidR="00B8762B">
        <w:rPr>
          <w:rFonts w:ascii="Calibri" w:hAnsi="Calibri" w:cs="Calibri"/>
          <w:color w:val="000000"/>
          <w:sz w:val="22"/>
          <w:szCs w:val="22"/>
        </w:rPr>
        <w:t>,</w:t>
      </w:r>
      <w:r w:rsidR="00824C87">
        <w:rPr>
          <w:rFonts w:ascii="Calibri" w:hAnsi="Calibri" w:cs="Calibri"/>
          <w:color w:val="000000"/>
          <w:sz w:val="22"/>
          <w:szCs w:val="22"/>
        </w:rPr>
        <w:t xml:space="preserve"> </w:t>
      </w:r>
      <w:r w:rsidR="004E3FF7">
        <w:rPr>
          <w:rFonts w:ascii="Calibri" w:hAnsi="Calibri" w:cs="Calibri"/>
          <w:color w:val="000000"/>
          <w:sz w:val="22"/>
          <w:szCs w:val="22"/>
        </w:rPr>
        <w:t>proposed</w:t>
      </w:r>
      <w:r w:rsidR="00FE120D">
        <w:rPr>
          <w:rFonts w:ascii="Calibri" w:hAnsi="Calibri" w:cs="Calibri"/>
          <w:color w:val="000000"/>
          <w:sz w:val="22"/>
          <w:szCs w:val="22"/>
        </w:rPr>
        <w:t xml:space="preserve"> plan</w:t>
      </w:r>
      <w:r w:rsidR="004E3FF7">
        <w:rPr>
          <w:rFonts w:ascii="Calibri" w:hAnsi="Calibri" w:cs="Calibri"/>
          <w:color w:val="000000"/>
          <w:sz w:val="22"/>
          <w:szCs w:val="22"/>
        </w:rPr>
        <w:t>s</w:t>
      </w:r>
      <w:r w:rsidR="00FE120D">
        <w:rPr>
          <w:rFonts w:ascii="Calibri" w:hAnsi="Calibri" w:cs="Calibri"/>
          <w:color w:val="000000"/>
          <w:sz w:val="22"/>
          <w:szCs w:val="22"/>
        </w:rPr>
        <w:t xml:space="preserve"> must prove </w:t>
      </w:r>
      <w:r w:rsidR="004C7665">
        <w:rPr>
          <w:rFonts w:ascii="Calibri" w:hAnsi="Calibri" w:cs="Calibri"/>
          <w:color w:val="000000"/>
          <w:sz w:val="22"/>
          <w:szCs w:val="22"/>
        </w:rPr>
        <w:t xml:space="preserve">viability </w:t>
      </w:r>
      <w:r w:rsidR="00E633A6" w:rsidRPr="00E633A6">
        <w:rPr>
          <w:rFonts w:ascii="Calibri" w:hAnsi="Calibri" w:cs="Calibri"/>
          <w:color w:val="000000"/>
          <w:sz w:val="22"/>
          <w:szCs w:val="22"/>
        </w:rPr>
        <w:t>without relying on government funding or government purchase orders.</w:t>
      </w:r>
    </w:p>
    <w:p w14:paraId="7DFC0C38" w14:textId="77777777" w:rsidR="005F139E" w:rsidRDefault="00FE120D">
      <w:pPr>
        <w:pStyle w:val="q-text"/>
        <w:spacing w:before="60" w:beforeAutospacing="0"/>
        <w:divId w:val="661739367"/>
        <w:rPr>
          <w:rFonts w:ascii="Calibri" w:hAnsi="Calibri" w:cs="Calibri"/>
          <w:color w:val="000000"/>
          <w:sz w:val="22"/>
          <w:szCs w:val="22"/>
        </w:rPr>
      </w:pPr>
      <w:r>
        <w:rPr>
          <w:rStyle w:val="q-num1"/>
          <w:rFonts w:ascii="Calibri" w:hAnsi="Calibri" w:cs="Calibri"/>
          <w:b/>
          <w:bCs/>
          <w:sz w:val="22"/>
          <w:szCs w:val="22"/>
        </w:rPr>
        <w:t>[134]</w:t>
      </w:r>
      <w:r>
        <w:rPr>
          <w:rFonts w:ascii="Calibri" w:hAnsi="Calibri" w:cs="Calibri"/>
          <w:color w:val="000000"/>
          <w:sz w:val="22"/>
          <w:szCs w:val="22"/>
        </w:rPr>
        <w:t xml:space="preserve"> Would the Government consider reducing the cash flow projection requirement from ten years to three years?</w:t>
      </w:r>
    </w:p>
    <w:p w14:paraId="496DCA96" w14:textId="27C015CD" w:rsidR="005F139E" w:rsidRDefault="00CF7E88">
      <w:pPr>
        <w:pStyle w:val="a-text"/>
        <w:spacing w:after="60" w:afterAutospacing="0"/>
        <w:divId w:val="661739367"/>
        <w:rPr>
          <w:rFonts w:ascii="Calibri" w:hAnsi="Calibri" w:cs="Calibri"/>
          <w:color w:val="000000"/>
          <w:sz w:val="22"/>
          <w:szCs w:val="22"/>
        </w:rPr>
      </w:pPr>
      <w:r>
        <w:rPr>
          <w:rFonts w:ascii="Calibri" w:hAnsi="Calibri" w:cs="Calibri"/>
          <w:color w:val="000000"/>
          <w:sz w:val="22"/>
          <w:szCs w:val="22"/>
        </w:rPr>
        <w:t>No, t</w:t>
      </w:r>
      <w:r w:rsidR="00FE120D">
        <w:rPr>
          <w:rFonts w:ascii="Calibri" w:hAnsi="Calibri" w:cs="Calibri"/>
          <w:color w:val="000000"/>
          <w:sz w:val="22"/>
          <w:szCs w:val="22"/>
        </w:rPr>
        <w:t xml:space="preserve">he Government will not reduce the cash flow projection requirement to three years. </w:t>
      </w:r>
    </w:p>
    <w:p w14:paraId="1401BB48" w14:textId="77777777" w:rsidR="005F139E" w:rsidRDefault="00FE120D">
      <w:pPr>
        <w:pStyle w:val="q-text"/>
        <w:spacing w:before="60" w:beforeAutospacing="0"/>
        <w:divId w:val="1005133916"/>
        <w:rPr>
          <w:rFonts w:ascii="Calibri" w:hAnsi="Calibri" w:cs="Calibri"/>
          <w:color w:val="000000"/>
          <w:sz w:val="22"/>
          <w:szCs w:val="22"/>
        </w:rPr>
      </w:pPr>
      <w:r>
        <w:rPr>
          <w:rStyle w:val="q-num1"/>
          <w:rFonts w:ascii="Calibri" w:hAnsi="Calibri" w:cs="Calibri"/>
          <w:b/>
          <w:bCs/>
          <w:sz w:val="22"/>
          <w:szCs w:val="22"/>
        </w:rPr>
        <w:t>[135]</w:t>
      </w:r>
      <w:r>
        <w:rPr>
          <w:rFonts w:ascii="Calibri" w:hAnsi="Calibri" w:cs="Calibri"/>
          <w:color w:val="000000"/>
          <w:sz w:val="22"/>
          <w:szCs w:val="22"/>
        </w:rPr>
        <w:t xml:space="preserve"> Confirmation request regarding an apparent formatting/paragraph-break issue in the last sentence of Deliverable 19 — is any text missing?</w:t>
      </w:r>
    </w:p>
    <w:p w14:paraId="664D1BE1" w14:textId="21961061" w:rsidR="005F139E" w:rsidRDefault="00FE120D">
      <w:pPr>
        <w:pStyle w:val="a-text"/>
        <w:spacing w:after="60" w:afterAutospacing="0"/>
        <w:divId w:val="1005133916"/>
        <w:rPr>
          <w:rFonts w:ascii="Calibri" w:hAnsi="Calibri" w:cs="Calibri"/>
          <w:color w:val="000000"/>
          <w:sz w:val="22"/>
          <w:szCs w:val="22"/>
        </w:rPr>
      </w:pPr>
      <w:r>
        <w:rPr>
          <w:rFonts w:ascii="Calibri" w:hAnsi="Calibri" w:cs="Calibri"/>
          <w:color w:val="000000"/>
          <w:sz w:val="22"/>
          <w:szCs w:val="22"/>
        </w:rPr>
        <w:t>The formatting issue has been noted. We confirm that no information is missing.</w:t>
      </w:r>
    </w:p>
    <w:p w14:paraId="6F5BC365" w14:textId="77777777" w:rsidR="005F139E" w:rsidRDefault="00FE120D">
      <w:pPr>
        <w:pStyle w:val="q-text"/>
        <w:spacing w:before="60" w:beforeAutospacing="0"/>
        <w:divId w:val="30157092"/>
        <w:rPr>
          <w:rFonts w:ascii="Calibri" w:hAnsi="Calibri" w:cs="Calibri"/>
          <w:color w:val="000000"/>
          <w:sz w:val="22"/>
          <w:szCs w:val="22"/>
        </w:rPr>
      </w:pPr>
      <w:r>
        <w:rPr>
          <w:rStyle w:val="q-num1"/>
          <w:rFonts w:ascii="Calibri" w:hAnsi="Calibri" w:cs="Calibri"/>
          <w:b/>
          <w:bCs/>
          <w:sz w:val="22"/>
          <w:szCs w:val="22"/>
        </w:rPr>
        <w:t>[136]</w:t>
      </w:r>
      <w:r>
        <w:rPr>
          <w:rFonts w:ascii="Calibri" w:hAnsi="Calibri" w:cs="Calibri"/>
          <w:color w:val="000000"/>
          <w:sz w:val="22"/>
          <w:szCs w:val="22"/>
        </w:rPr>
        <w:t xml:space="preserve"> Would the Government consider requiring detailed funding documentation only for the first three years of the model, with later years addressed on a planning basis?</w:t>
      </w:r>
    </w:p>
    <w:p w14:paraId="2E63E0A5" w14:textId="58C51E37" w:rsidR="005F139E" w:rsidRDefault="00FB5251">
      <w:pPr>
        <w:pStyle w:val="a-text"/>
        <w:spacing w:after="60" w:afterAutospacing="0"/>
        <w:divId w:val="30157092"/>
        <w:rPr>
          <w:rFonts w:ascii="Calibri" w:hAnsi="Calibri" w:cs="Calibri"/>
          <w:color w:val="000000"/>
          <w:sz w:val="22"/>
          <w:szCs w:val="22"/>
        </w:rPr>
      </w:pPr>
      <w:r>
        <w:rPr>
          <w:rFonts w:ascii="Calibri" w:hAnsi="Calibri" w:cs="Calibri"/>
          <w:color w:val="000000"/>
          <w:sz w:val="22"/>
          <w:szCs w:val="22"/>
        </w:rPr>
        <w:t>No, t</w:t>
      </w:r>
      <w:r w:rsidR="00FE120D">
        <w:rPr>
          <w:rFonts w:ascii="Calibri" w:hAnsi="Calibri" w:cs="Calibri"/>
          <w:color w:val="000000"/>
          <w:sz w:val="22"/>
          <w:szCs w:val="22"/>
        </w:rPr>
        <w:t>he Government will not relax the funding documentation standards for the later years of the model.</w:t>
      </w:r>
    </w:p>
    <w:p w14:paraId="48ADE399" w14:textId="1D250DC8" w:rsidR="005F139E" w:rsidRDefault="00FE120D">
      <w:pPr>
        <w:pStyle w:val="q-text"/>
        <w:spacing w:before="60" w:beforeAutospacing="0"/>
        <w:divId w:val="1311054423"/>
        <w:rPr>
          <w:rFonts w:ascii="Calibri" w:hAnsi="Calibri" w:cs="Calibri"/>
          <w:color w:val="000000"/>
          <w:sz w:val="22"/>
          <w:szCs w:val="22"/>
        </w:rPr>
      </w:pPr>
      <w:r>
        <w:rPr>
          <w:rStyle w:val="q-num1"/>
          <w:rFonts w:ascii="Calibri" w:hAnsi="Calibri" w:cs="Calibri"/>
          <w:b/>
          <w:bCs/>
          <w:sz w:val="22"/>
          <w:szCs w:val="22"/>
        </w:rPr>
        <w:t>[144]</w:t>
      </w:r>
      <w:r>
        <w:rPr>
          <w:rFonts w:ascii="Calibri" w:hAnsi="Calibri" w:cs="Calibri"/>
          <w:color w:val="000000"/>
          <w:sz w:val="22"/>
          <w:szCs w:val="22"/>
        </w:rPr>
        <w:t xml:space="preserve"> Given that current landed prices reflect subsidized/transshipped supply (roughly 30% below the pre-2020 decade average), may </w:t>
      </w:r>
      <w:r w:rsidR="00CF17A9">
        <w:rPr>
          <w:rFonts w:ascii="Calibri" w:hAnsi="Calibri" w:cs="Calibri"/>
          <w:color w:val="000000"/>
          <w:sz w:val="22"/>
          <w:szCs w:val="22"/>
        </w:rPr>
        <w:t>Respondents</w:t>
      </w:r>
      <w:r>
        <w:rPr>
          <w:rFonts w:ascii="Calibri" w:hAnsi="Calibri" w:cs="Calibri"/>
          <w:color w:val="000000"/>
          <w:sz w:val="22"/>
          <w:szCs w:val="22"/>
        </w:rPr>
        <w:t xml:space="preserve"> use pending federal policy measures (Section 232 remedy, CMS-1850-P domestic-PPE payment adjustment, anticipated domestic-NBR sourcing requirement) as the price/demand baseline for the Commercial Viability Plan and sensitivity analysis? If not, what baseline is consistent with the RPP's objectives, and how will proposals relying on such measures be evaluated relative to those assuming current market conditions?</w:t>
      </w:r>
    </w:p>
    <w:p w14:paraId="12324486" w14:textId="351158AE" w:rsidR="005F139E" w:rsidRPr="00EC1063" w:rsidRDefault="00900402" w:rsidP="00EC1063">
      <w:pPr>
        <w:pStyle w:val="a-text"/>
        <w:spacing w:after="240" w:afterAutospacing="0"/>
        <w:divId w:val="1311054423"/>
        <w:rPr>
          <w:rFonts w:ascii="Calibri" w:hAnsi="Calibri" w:cs="Calibri"/>
          <w:color w:val="000000"/>
          <w:sz w:val="22"/>
          <w:szCs w:val="22"/>
        </w:rPr>
      </w:pPr>
      <w:r>
        <w:rPr>
          <w:rFonts w:ascii="Calibri" w:hAnsi="Calibri" w:cs="Calibri"/>
          <w:color w:val="000000"/>
          <w:sz w:val="22"/>
          <w:szCs w:val="22"/>
        </w:rPr>
        <w:t>Respondents</w:t>
      </w:r>
      <w:r w:rsidR="006D2450" w:rsidRPr="006D2450">
        <w:rPr>
          <w:rFonts w:ascii="Calibri" w:hAnsi="Calibri" w:cs="Calibri"/>
          <w:color w:val="000000"/>
          <w:sz w:val="22"/>
          <w:szCs w:val="22"/>
        </w:rPr>
        <w:t xml:space="preserve"> may not incorporate pending federal policy measures or anticipated trade remedies as their baseline economic assumptions. </w:t>
      </w:r>
      <w:r w:rsidR="00CF17A9">
        <w:rPr>
          <w:rFonts w:ascii="Calibri" w:hAnsi="Calibri" w:cs="Calibri"/>
          <w:color w:val="000000"/>
          <w:sz w:val="22"/>
          <w:szCs w:val="22"/>
        </w:rPr>
        <w:t>Respondents</w:t>
      </w:r>
      <w:r w:rsidR="00841BD0" w:rsidRPr="00841BD0">
        <w:rPr>
          <w:rFonts w:ascii="Calibri" w:hAnsi="Calibri" w:cs="Calibri"/>
          <w:color w:val="000000"/>
          <w:sz w:val="22"/>
          <w:szCs w:val="22"/>
        </w:rPr>
        <w:t xml:space="preserve"> must establish and justify their own baseline price and demand outlook using verifiable historical indices, market research, and current commercial market conditions. </w:t>
      </w:r>
    </w:p>
    <w:p w14:paraId="2D7B92B6" w14:textId="77777777" w:rsidR="005F139E" w:rsidRDefault="00FE120D">
      <w:pPr>
        <w:pStyle w:val="Heading2"/>
        <w:rPr>
          <w:rFonts w:ascii="Calibri" w:eastAsia="Times New Roman" w:hAnsi="Calibri" w:cs="Calibri"/>
        </w:rPr>
      </w:pPr>
      <w:r>
        <w:rPr>
          <w:rFonts w:ascii="Calibri" w:eastAsia="Times New Roman" w:hAnsi="Calibri" w:cs="Calibri"/>
        </w:rPr>
        <w:t>13. Government Demand Data &amp; Market/Trade Policy Questions</w:t>
      </w:r>
    </w:p>
    <w:p w14:paraId="4915115F" w14:textId="77777777" w:rsidR="005F139E" w:rsidRDefault="00FE120D">
      <w:pPr>
        <w:pStyle w:val="q-text"/>
        <w:spacing w:before="60" w:beforeAutospacing="0"/>
        <w:divId w:val="213657431"/>
        <w:rPr>
          <w:rFonts w:ascii="Calibri" w:hAnsi="Calibri" w:cs="Calibri"/>
          <w:color w:val="000000"/>
          <w:sz w:val="22"/>
          <w:szCs w:val="22"/>
        </w:rPr>
      </w:pPr>
      <w:r>
        <w:rPr>
          <w:rStyle w:val="q-num1"/>
          <w:rFonts w:ascii="Calibri" w:hAnsi="Calibri" w:cs="Calibri"/>
          <w:b/>
          <w:bCs/>
          <w:sz w:val="22"/>
          <w:szCs w:val="22"/>
        </w:rPr>
        <w:t>[140]</w:t>
      </w:r>
      <w:r>
        <w:rPr>
          <w:rFonts w:ascii="Calibri" w:hAnsi="Calibri" w:cs="Calibri"/>
          <w:color w:val="000000"/>
          <w:sz w:val="22"/>
          <w:szCs w:val="22"/>
        </w:rPr>
        <w:t xml:space="preserve"> Is HHS coordinating with Commerce and </w:t>
      </w:r>
      <w:proofErr w:type="gramStart"/>
      <w:r>
        <w:rPr>
          <w:rFonts w:ascii="Calibri" w:hAnsi="Calibri" w:cs="Calibri"/>
          <w:color w:val="000000"/>
          <w:sz w:val="22"/>
          <w:szCs w:val="22"/>
        </w:rPr>
        <w:t>USTR about</w:t>
      </w:r>
      <w:proofErr w:type="gramEnd"/>
      <w:r>
        <w:rPr>
          <w:rFonts w:ascii="Calibri" w:hAnsi="Calibri" w:cs="Calibri"/>
          <w:color w:val="000000"/>
          <w:sz w:val="22"/>
          <w:szCs w:val="22"/>
        </w:rPr>
        <w:t xml:space="preserve"> imposing specific tariffs on foreign-made gloves and NBR?</w:t>
      </w:r>
    </w:p>
    <w:p w14:paraId="48483590" w14:textId="11849F78" w:rsidR="005F139E" w:rsidRDefault="000B680D">
      <w:pPr>
        <w:pStyle w:val="a-text"/>
        <w:spacing w:after="60" w:afterAutospacing="0"/>
        <w:divId w:val="213657431"/>
        <w:rPr>
          <w:rFonts w:ascii="Calibri" w:hAnsi="Calibri" w:cs="Calibri"/>
          <w:color w:val="000000"/>
          <w:sz w:val="22"/>
          <w:szCs w:val="22"/>
        </w:rPr>
      </w:pPr>
      <w:r w:rsidRPr="000B680D">
        <w:rPr>
          <w:rFonts w:ascii="Calibri" w:hAnsi="Calibri" w:cs="Calibri"/>
          <w:color w:val="000000"/>
          <w:sz w:val="22"/>
          <w:szCs w:val="22"/>
        </w:rPr>
        <w:t>Proposal submissions should not rely on speculative interagency coordination or anticipated trade policy changes.</w:t>
      </w:r>
    </w:p>
    <w:p w14:paraId="153BBD2B" w14:textId="27E66868" w:rsidR="005F139E" w:rsidRDefault="00FE120D">
      <w:pPr>
        <w:pStyle w:val="q-text"/>
        <w:spacing w:before="60" w:beforeAutospacing="0"/>
        <w:divId w:val="1311516968"/>
        <w:rPr>
          <w:rFonts w:ascii="Calibri" w:hAnsi="Calibri" w:cs="Calibri"/>
          <w:color w:val="000000"/>
          <w:sz w:val="22"/>
          <w:szCs w:val="22"/>
        </w:rPr>
      </w:pPr>
      <w:r>
        <w:rPr>
          <w:rStyle w:val="q-num1"/>
          <w:rFonts w:ascii="Calibri" w:hAnsi="Calibri" w:cs="Calibri"/>
          <w:b/>
          <w:bCs/>
          <w:sz w:val="22"/>
          <w:szCs w:val="22"/>
        </w:rPr>
        <w:t>[141]</w:t>
      </w:r>
      <w:r>
        <w:rPr>
          <w:rFonts w:ascii="Calibri" w:hAnsi="Calibri" w:cs="Calibri"/>
          <w:color w:val="000000"/>
          <w:sz w:val="22"/>
          <w:szCs w:val="22"/>
        </w:rPr>
        <w:t xml:space="preserve"> Status of the CY 2027 OPPS/ASC proposed rule (CMS-1850-P); the specific final per-glove payment adjustment and how it reaches private </w:t>
      </w:r>
      <w:r w:rsidR="004C7665">
        <w:rPr>
          <w:rFonts w:ascii="Calibri" w:hAnsi="Calibri" w:cs="Calibri"/>
          <w:color w:val="000000"/>
          <w:sz w:val="22"/>
          <w:szCs w:val="22"/>
        </w:rPr>
        <w:t>purchases</w:t>
      </w:r>
      <w:r>
        <w:rPr>
          <w:rFonts w:ascii="Calibri" w:hAnsi="Calibri" w:cs="Calibri"/>
          <w:color w:val="000000"/>
          <w:sz w:val="22"/>
          <w:szCs w:val="22"/>
        </w:rPr>
        <w:t xml:space="preserve">; whether U.S.-made gloves from imported NBR qualify; measured private-market adoption results of the comparable N95 domestic-preference effort; what has changed to ensure adoption here; and whether </w:t>
      </w:r>
      <w:r w:rsidR="00CF17A9">
        <w:rPr>
          <w:rFonts w:ascii="Calibri" w:hAnsi="Calibri" w:cs="Calibri"/>
          <w:color w:val="000000"/>
          <w:sz w:val="22"/>
          <w:szCs w:val="22"/>
        </w:rPr>
        <w:t>Respondents</w:t>
      </w:r>
      <w:r>
        <w:rPr>
          <w:rFonts w:ascii="Calibri" w:hAnsi="Calibri" w:cs="Calibri"/>
          <w:color w:val="000000"/>
          <w:sz w:val="22"/>
          <w:szCs w:val="22"/>
        </w:rPr>
        <w:t xml:space="preserve"> may rely on this mechanism in the Deliverable 19 plan.</w:t>
      </w:r>
    </w:p>
    <w:p w14:paraId="2FD4C4A8" w14:textId="5524F3CD" w:rsidR="005F139E" w:rsidRDefault="00231B78">
      <w:pPr>
        <w:pStyle w:val="a-text"/>
        <w:spacing w:after="60" w:afterAutospacing="0"/>
        <w:divId w:val="1311516968"/>
        <w:rPr>
          <w:rFonts w:ascii="Calibri" w:hAnsi="Calibri" w:cs="Calibri"/>
          <w:color w:val="000000"/>
          <w:sz w:val="22"/>
          <w:szCs w:val="22"/>
        </w:rPr>
      </w:pPr>
      <w:r w:rsidRPr="00231B78">
        <w:rPr>
          <w:rFonts w:ascii="Calibri" w:hAnsi="Calibri" w:cs="Calibri"/>
          <w:color w:val="000000"/>
          <w:sz w:val="22"/>
          <w:szCs w:val="22"/>
        </w:rPr>
        <w:t>The status of CY 2027 OPPS/ASC rule is outside the scope of this solicitation.</w:t>
      </w:r>
      <w:r w:rsidR="006A44FF" w:rsidRPr="006A44FF">
        <w:t xml:space="preserve"> </w:t>
      </w:r>
      <w:r w:rsidR="00CF17A9">
        <w:rPr>
          <w:rFonts w:ascii="Calibri" w:hAnsi="Calibri" w:cs="Calibri"/>
          <w:color w:val="000000"/>
          <w:sz w:val="22"/>
          <w:szCs w:val="22"/>
        </w:rPr>
        <w:t>Respondents</w:t>
      </w:r>
      <w:r w:rsidR="006A44FF" w:rsidRPr="006A44FF">
        <w:rPr>
          <w:rFonts w:ascii="Calibri" w:hAnsi="Calibri" w:cs="Calibri"/>
          <w:color w:val="000000"/>
          <w:sz w:val="22"/>
          <w:szCs w:val="22"/>
        </w:rPr>
        <w:t xml:space="preserve"> may not incorporate pending federal policy measures or anticipated trade remedies as their baseline economic assumptions. </w:t>
      </w:r>
      <w:r w:rsidR="00CF17A9">
        <w:rPr>
          <w:rFonts w:ascii="Calibri" w:hAnsi="Calibri" w:cs="Calibri"/>
          <w:color w:val="000000"/>
          <w:sz w:val="22"/>
          <w:szCs w:val="22"/>
        </w:rPr>
        <w:t>Respondents</w:t>
      </w:r>
      <w:r w:rsidR="00B32712" w:rsidRPr="00B32712">
        <w:rPr>
          <w:rFonts w:ascii="Calibri" w:hAnsi="Calibri" w:cs="Calibri"/>
          <w:color w:val="000000"/>
          <w:sz w:val="22"/>
          <w:szCs w:val="22"/>
        </w:rPr>
        <w:t xml:space="preserve"> must establish and justify their own baseline price and demand outlook using verifiable historical indices, market research, and current commercial market conditions. </w:t>
      </w:r>
    </w:p>
    <w:p w14:paraId="1089370D" w14:textId="77777777" w:rsidR="00035118" w:rsidRDefault="00FE120D">
      <w:pPr>
        <w:pStyle w:val="q-text"/>
        <w:spacing w:before="60" w:beforeAutospacing="0" w:after="240"/>
        <w:divId w:val="166671716"/>
        <w:rPr>
          <w:rFonts w:ascii="Calibri" w:hAnsi="Calibri" w:cs="Calibri"/>
          <w:color w:val="000000"/>
          <w:sz w:val="22"/>
          <w:szCs w:val="22"/>
        </w:rPr>
      </w:pPr>
      <w:r>
        <w:rPr>
          <w:rStyle w:val="q-num1"/>
          <w:rFonts w:ascii="Calibri" w:hAnsi="Calibri" w:cs="Calibri"/>
          <w:b/>
          <w:bCs/>
          <w:sz w:val="22"/>
          <w:szCs w:val="22"/>
        </w:rPr>
        <w:t>[142]</w:t>
      </w:r>
      <w:r>
        <w:rPr>
          <w:rFonts w:ascii="Calibri" w:hAnsi="Calibri" w:cs="Calibri"/>
          <w:color w:val="000000"/>
          <w:sz w:val="22"/>
          <w:szCs w:val="22"/>
        </w:rPr>
        <w:t xml:space="preserve"> What is the status of Strategic National Stockpile restocking with nitrile gloves? Will the Government specify the annual NBR tonnage needed for </w:t>
      </w:r>
      <w:proofErr w:type="gramStart"/>
      <w:r>
        <w:rPr>
          <w:rFonts w:ascii="Calibri" w:hAnsi="Calibri" w:cs="Calibri"/>
          <w:color w:val="000000"/>
          <w:sz w:val="22"/>
          <w:szCs w:val="22"/>
        </w:rPr>
        <w:t>steady-state</w:t>
      </w:r>
      <w:proofErr w:type="gramEnd"/>
      <w:r>
        <w:rPr>
          <w:rFonts w:ascii="Calibri" w:hAnsi="Calibri" w:cs="Calibri"/>
          <w:color w:val="000000"/>
          <w:sz w:val="22"/>
          <w:szCs w:val="22"/>
        </w:rPr>
        <w:t>/surge demand and confirm whether SNS replenishment will be sourced from domestically manufactured gloves made with domestic NBR?</w:t>
      </w:r>
    </w:p>
    <w:p w14:paraId="3934E2F3" w14:textId="3BCC669F" w:rsidR="002169EC" w:rsidRDefault="005D1DDF" w:rsidP="002169EC">
      <w:pPr>
        <w:pStyle w:val="a-text"/>
        <w:spacing w:after="240" w:afterAutospacing="0"/>
        <w:divId w:val="1268587772"/>
        <w:rPr>
          <w:rFonts w:ascii="Calibri" w:hAnsi="Calibri" w:cs="Calibri"/>
          <w:color w:val="000000"/>
          <w:sz w:val="22"/>
          <w:szCs w:val="22"/>
        </w:rPr>
      </w:pPr>
      <w:r w:rsidRPr="005D1DDF">
        <w:rPr>
          <w:rFonts w:ascii="Calibri" w:hAnsi="Calibri" w:cs="Calibri"/>
          <w:color w:val="000000"/>
          <w:sz w:val="22"/>
          <w:szCs w:val="22"/>
        </w:rPr>
        <w:t>Performers should use their own resources to obtain publicly available information regarding stockpile replenishment cycles.</w:t>
      </w:r>
    </w:p>
    <w:p w14:paraId="7164508A" w14:textId="55DD9ED4" w:rsidR="005F139E" w:rsidRDefault="00FE120D">
      <w:pPr>
        <w:pStyle w:val="q-text"/>
        <w:spacing w:before="60" w:beforeAutospacing="0"/>
        <w:divId w:val="1268587772"/>
        <w:rPr>
          <w:rFonts w:ascii="Calibri" w:hAnsi="Calibri" w:cs="Calibri"/>
          <w:color w:val="000000"/>
          <w:sz w:val="22"/>
          <w:szCs w:val="22"/>
        </w:rPr>
      </w:pPr>
      <w:r>
        <w:rPr>
          <w:rStyle w:val="q-num1"/>
          <w:rFonts w:ascii="Calibri" w:hAnsi="Calibri" w:cs="Calibri"/>
          <w:b/>
          <w:bCs/>
          <w:sz w:val="22"/>
          <w:szCs w:val="22"/>
        </w:rPr>
        <w:lastRenderedPageBreak/>
        <w:t>[143]</w:t>
      </w:r>
      <w:r>
        <w:rPr>
          <w:rFonts w:ascii="Calibri" w:hAnsi="Calibri" w:cs="Calibri"/>
          <w:color w:val="000000"/>
          <w:sz w:val="22"/>
          <w:szCs w:val="22"/>
        </w:rPr>
        <w:t xml:space="preserve"> Given reported Administration statements against further U.S. government investment in NBR production, how should </w:t>
      </w:r>
      <w:r w:rsidR="00CF17A9">
        <w:rPr>
          <w:rFonts w:ascii="Calibri" w:hAnsi="Calibri" w:cs="Calibri"/>
          <w:color w:val="000000"/>
          <w:sz w:val="22"/>
          <w:szCs w:val="22"/>
        </w:rPr>
        <w:t>Respondents</w:t>
      </w:r>
      <w:r>
        <w:rPr>
          <w:rFonts w:ascii="Calibri" w:hAnsi="Calibri" w:cs="Calibri"/>
          <w:color w:val="000000"/>
          <w:sz w:val="22"/>
          <w:szCs w:val="22"/>
        </w:rPr>
        <w:t xml:space="preserve"> explain this apparent contradiction with the RFP to investors?</w:t>
      </w:r>
    </w:p>
    <w:p w14:paraId="3867EFC1" w14:textId="1E385903" w:rsidR="005F139E" w:rsidRPr="00EC1063" w:rsidRDefault="006B72F2" w:rsidP="00EC1063">
      <w:pPr>
        <w:pStyle w:val="a-text"/>
        <w:spacing w:after="240" w:afterAutospacing="0"/>
        <w:divId w:val="1268587772"/>
        <w:rPr>
          <w:rFonts w:ascii="Calibri" w:hAnsi="Calibri" w:cs="Calibri"/>
          <w:color w:val="000000"/>
          <w:sz w:val="22"/>
          <w:szCs w:val="22"/>
        </w:rPr>
      </w:pPr>
      <w:r>
        <w:rPr>
          <w:rFonts w:ascii="Calibri" w:hAnsi="Calibri" w:cs="Calibri"/>
          <w:color w:val="000000"/>
          <w:sz w:val="22"/>
          <w:szCs w:val="22"/>
        </w:rPr>
        <w:t>P</w:t>
      </w:r>
      <w:r w:rsidR="00FE120D">
        <w:rPr>
          <w:rFonts w:ascii="Calibri" w:hAnsi="Calibri" w:cs="Calibri"/>
          <w:color w:val="000000"/>
          <w:sz w:val="22"/>
          <w:szCs w:val="22"/>
        </w:rPr>
        <w:t>ublic media statements and advisory agency comments do not override or alter active, funded, and contractually executed solicitations.</w:t>
      </w:r>
    </w:p>
    <w:p w14:paraId="066598E2" w14:textId="77777777" w:rsidR="005F139E" w:rsidRDefault="00FE120D">
      <w:pPr>
        <w:pStyle w:val="Heading2"/>
        <w:rPr>
          <w:rFonts w:ascii="Calibri" w:eastAsia="Times New Roman" w:hAnsi="Calibri" w:cs="Calibri"/>
        </w:rPr>
      </w:pPr>
      <w:r>
        <w:rPr>
          <w:rFonts w:ascii="Calibri" w:eastAsia="Times New Roman" w:hAnsi="Calibri" w:cs="Calibri"/>
        </w:rPr>
        <w:t>14. Foreign Ownership / Eligibility Restrictions</w:t>
      </w:r>
    </w:p>
    <w:p w14:paraId="02A6BA72" w14:textId="77777777" w:rsidR="005F139E" w:rsidRDefault="00FE120D">
      <w:pPr>
        <w:pStyle w:val="q-text"/>
        <w:spacing w:before="60" w:beforeAutospacing="0"/>
        <w:divId w:val="319844182"/>
        <w:rPr>
          <w:rFonts w:ascii="Calibri" w:hAnsi="Calibri" w:cs="Calibri"/>
          <w:color w:val="000000"/>
          <w:sz w:val="22"/>
          <w:szCs w:val="22"/>
        </w:rPr>
      </w:pPr>
      <w:r>
        <w:rPr>
          <w:rStyle w:val="q-num1"/>
          <w:rFonts w:ascii="Calibri" w:hAnsi="Calibri" w:cs="Calibri"/>
          <w:b/>
          <w:bCs/>
          <w:sz w:val="22"/>
          <w:szCs w:val="22"/>
        </w:rPr>
        <w:t>[35]</w:t>
      </w:r>
      <w:r>
        <w:rPr>
          <w:rFonts w:ascii="Calibri" w:hAnsi="Calibri" w:cs="Calibri"/>
          <w:color w:val="000000"/>
          <w:sz w:val="22"/>
          <w:szCs w:val="22"/>
        </w:rPr>
        <w:t xml:space="preserve"> Does the foreign-influence prohibition extend beyond U.S. ownership to minority investors, lenders, or IP licensors?</w:t>
      </w:r>
    </w:p>
    <w:p w14:paraId="514B5E90" w14:textId="050146C9" w:rsidR="005F139E" w:rsidRDefault="00FE120D">
      <w:pPr>
        <w:pStyle w:val="a-text"/>
        <w:spacing w:after="60" w:afterAutospacing="0"/>
        <w:divId w:val="319844182"/>
        <w:rPr>
          <w:rFonts w:ascii="Calibri" w:hAnsi="Calibri" w:cs="Calibri"/>
          <w:color w:val="000000"/>
          <w:sz w:val="22"/>
          <w:szCs w:val="22"/>
        </w:rPr>
      </w:pPr>
      <w:r>
        <w:rPr>
          <w:rFonts w:ascii="Calibri" w:hAnsi="Calibri" w:cs="Calibri"/>
          <w:color w:val="000000"/>
          <w:sz w:val="22"/>
          <w:szCs w:val="22"/>
        </w:rPr>
        <w:t xml:space="preserve">Per Section 19.10 of the Base Agreement, a Project Awardee </w:t>
      </w:r>
      <w:r w:rsidR="00EA1DF9">
        <w:rPr>
          <w:rFonts w:ascii="Calibri" w:hAnsi="Calibri" w:cs="Calibri"/>
          <w:color w:val="000000"/>
          <w:sz w:val="22"/>
          <w:szCs w:val="22"/>
        </w:rPr>
        <w:t>must</w:t>
      </w:r>
      <w:r>
        <w:rPr>
          <w:rFonts w:ascii="Calibri" w:hAnsi="Calibri" w:cs="Calibri"/>
          <w:color w:val="000000"/>
          <w:sz w:val="22"/>
          <w:szCs w:val="22"/>
        </w:rPr>
        <w:t xml:space="preserve"> ensure that no foreign entities from the Government-prohibited sources list (embargoed/sanctioned countries per Treasury and Commerce) are utilized by the Project Awardee or its Affiliates/subawards.</w:t>
      </w:r>
      <w:r>
        <w:rPr>
          <w:rFonts w:ascii="Calibri" w:hAnsi="Calibri" w:cs="Calibri"/>
          <w:color w:val="000000"/>
          <w:sz w:val="22"/>
          <w:szCs w:val="22"/>
        </w:rPr>
        <w:br/>
      </w:r>
    </w:p>
    <w:p w14:paraId="5377882A" w14:textId="77777777" w:rsidR="005F139E" w:rsidRDefault="00FE120D">
      <w:pPr>
        <w:pStyle w:val="q-text"/>
        <w:spacing w:before="60" w:beforeAutospacing="0"/>
        <w:divId w:val="1714454437"/>
        <w:rPr>
          <w:rFonts w:ascii="Calibri" w:hAnsi="Calibri" w:cs="Calibri"/>
          <w:color w:val="000000"/>
          <w:sz w:val="22"/>
          <w:szCs w:val="22"/>
        </w:rPr>
      </w:pPr>
      <w:r>
        <w:rPr>
          <w:rStyle w:val="q-num1"/>
          <w:rFonts w:ascii="Calibri" w:hAnsi="Calibri" w:cs="Calibri"/>
          <w:b/>
          <w:bCs/>
          <w:sz w:val="22"/>
          <w:szCs w:val="22"/>
        </w:rPr>
        <w:t>[69]</w:t>
      </w:r>
      <w:r>
        <w:rPr>
          <w:rFonts w:ascii="Calibri" w:hAnsi="Calibri" w:cs="Calibri"/>
          <w:color w:val="000000"/>
          <w:sz w:val="22"/>
          <w:szCs w:val="22"/>
        </w:rPr>
        <w:t xml:space="preserve"> Would a U.S. subsidiary of a foreign company be allowed to submit a proposal as the main contractor, provided activities are performed in the U.S.?</w:t>
      </w:r>
    </w:p>
    <w:p w14:paraId="0AA1F44A" w14:textId="57EC41BF" w:rsidR="005F139E" w:rsidRPr="0055455A" w:rsidRDefault="00FE120D" w:rsidP="00EC1063">
      <w:pPr>
        <w:pStyle w:val="a-text"/>
        <w:spacing w:after="240" w:afterAutospacing="0"/>
        <w:divId w:val="1714454437"/>
        <w:rPr>
          <w:rFonts w:ascii="Calibri" w:hAnsi="Calibri" w:cs="Calibri"/>
          <w:strike/>
          <w:color w:val="000000"/>
          <w:sz w:val="22"/>
          <w:szCs w:val="22"/>
        </w:rPr>
      </w:pPr>
      <w:r>
        <w:rPr>
          <w:rFonts w:ascii="Calibri" w:hAnsi="Calibri" w:cs="Calibri"/>
          <w:color w:val="000000"/>
          <w:sz w:val="22"/>
          <w:szCs w:val="22"/>
        </w:rPr>
        <w:t xml:space="preserve">This does not meet the minimum eligibility baseline. </w:t>
      </w:r>
    </w:p>
    <w:p w14:paraId="0225745B" w14:textId="24A7E319" w:rsidR="005F139E" w:rsidRDefault="00FE120D">
      <w:pPr>
        <w:pStyle w:val="Heading2"/>
        <w:rPr>
          <w:rFonts w:ascii="Calibri" w:eastAsia="Times New Roman" w:hAnsi="Calibri" w:cs="Calibri"/>
        </w:rPr>
      </w:pPr>
      <w:r>
        <w:rPr>
          <w:rFonts w:ascii="Calibri" w:eastAsia="Times New Roman" w:hAnsi="Calibri" w:cs="Calibri"/>
        </w:rPr>
        <w:t>15. Government-Funded Asset Restrictions</w:t>
      </w:r>
      <w:r w:rsidR="002E451F">
        <w:rPr>
          <w:rFonts w:ascii="Calibri" w:eastAsia="Times New Roman" w:hAnsi="Calibri" w:cs="Calibri"/>
        </w:rPr>
        <w:t xml:space="preserve"> </w:t>
      </w:r>
      <w:r>
        <w:rPr>
          <w:rFonts w:ascii="Calibri" w:eastAsia="Times New Roman" w:hAnsi="Calibri" w:cs="Calibri"/>
        </w:rPr>
        <w:t>Collateral, Title &amp; Priority Access</w:t>
      </w:r>
    </w:p>
    <w:p w14:paraId="71ED86BF" w14:textId="77777777" w:rsidR="005F139E" w:rsidRDefault="00FE120D">
      <w:pPr>
        <w:pStyle w:val="q-text"/>
        <w:spacing w:before="60" w:beforeAutospacing="0"/>
        <w:divId w:val="407843588"/>
        <w:rPr>
          <w:rFonts w:ascii="Calibri" w:hAnsi="Calibri" w:cs="Calibri"/>
          <w:color w:val="000000"/>
          <w:sz w:val="22"/>
          <w:szCs w:val="22"/>
        </w:rPr>
      </w:pPr>
      <w:r>
        <w:rPr>
          <w:rStyle w:val="q-num1"/>
          <w:rFonts w:ascii="Calibri" w:hAnsi="Calibri" w:cs="Calibri"/>
          <w:b/>
          <w:bCs/>
          <w:sz w:val="22"/>
          <w:szCs w:val="22"/>
        </w:rPr>
        <w:t>[39]</w:t>
      </w:r>
      <w:r>
        <w:rPr>
          <w:rFonts w:ascii="Calibri" w:hAnsi="Calibri" w:cs="Calibri"/>
          <w:color w:val="000000"/>
          <w:sz w:val="22"/>
          <w:szCs w:val="22"/>
        </w:rPr>
        <w:t xml:space="preserve"> If Government funding is allocated to specific assets, do the Section 2.5 collateral/use restrictions apply only to those assets, rather than to all project assets?</w:t>
      </w:r>
    </w:p>
    <w:p w14:paraId="4057365D" w14:textId="6C75CFE3" w:rsidR="005F139E" w:rsidRPr="0055455A" w:rsidRDefault="00FE120D" w:rsidP="00664DA0">
      <w:pPr>
        <w:pStyle w:val="a-text"/>
        <w:spacing w:after="60" w:afterAutospacing="0"/>
        <w:divId w:val="407843588"/>
        <w:rPr>
          <w:rFonts w:ascii="Calibri" w:hAnsi="Calibri" w:cs="Calibri"/>
          <w:strike/>
          <w:color w:val="000000"/>
          <w:sz w:val="22"/>
          <w:szCs w:val="22"/>
        </w:rPr>
      </w:pPr>
      <w:r>
        <w:rPr>
          <w:rFonts w:ascii="Calibri" w:hAnsi="Calibri" w:cs="Calibri"/>
          <w:color w:val="000000"/>
          <w:sz w:val="22"/>
          <w:szCs w:val="22"/>
        </w:rPr>
        <w:t xml:space="preserve">Per RPP Section 2.5, the Performer must amend bylaws to state they must not use real property, equipment, or other assets funded by the Government as collateral or for a purpose unrelated to nitrile glove production. </w:t>
      </w:r>
    </w:p>
    <w:p w14:paraId="6CCD6A9E" w14:textId="77777777" w:rsidR="005F139E" w:rsidRDefault="00FE120D">
      <w:pPr>
        <w:pStyle w:val="q-text"/>
        <w:spacing w:before="60" w:beforeAutospacing="0"/>
        <w:divId w:val="619728685"/>
        <w:rPr>
          <w:rFonts w:ascii="Calibri" w:hAnsi="Calibri" w:cs="Calibri"/>
          <w:color w:val="000000"/>
          <w:sz w:val="22"/>
          <w:szCs w:val="22"/>
        </w:rPr>
      </w:pPr>
      <w:r>
        <w:rPr>
          <w:rStyle w:val="q-num1"/>
          <w:rFonts w:ascii="Calibri" w:hAnsi="Calibri" w:cs="Calibri"/>
          <w:b/>
          <w:bCs/>
          <w:sz w:val="22"/>
          <w:szCs w:val="22"/>
        </w:rPr>
        <w:t>[40]</w:t>
      </w:r>
      <w:r>
        <w:rPr>
          <w:rFonts w:ascii="Calibri" w:hAnsi="Calibri" w:cs="Calibri"/>
          <w:color w:val="000000"/>
          <w:sz w:val="22"/>
          <w:szCs w:val="22"/>
        </w:rPr>
        <w:t xml:space="preserve"> Does the public health emergency priority access covenant apply only to Government-funded assets?</w:t>
      </w:r>
    </w:p>
    <w:p w14:paraId="1F8031A0" w14:textId="3233069D" w:rsidR="005F139E" w:rsidRDefault="00FE120D">
      <w:pPr>
        <w:pStyle w:val="a-text"/>
        <w:spacing w:after="60" w:afterAutospacing="0"/>
        <w:divId w:val="619728685"/>
        <w:rPr>
          <w:rFonts w:ascii="Calibri" w:hAnsi="Calibri" w:cs="Calibri"/>
          <w:color w:val="000000"/>
          <w:sz w:val="22"/>
          <w:szCs w:val="22"/>
        </w:rPr>
      </w:pPr>
      <w:r>
        <w:rPr>
          <w:rFonts w:ascii="Calibri" w:hAnsi="Calibri" w:cs="Calibri"/>
          <w:color w:val="000000"/>
          <w:sz w:val="22"/>
          <w:szCs w:val="22"/>
        </w:rPr>
        <w:t>The covenant applies broader facility-use parameters. Section 2.5 dictates that amended bylaws must require the Performer, successor interests, and any other entity that owns, operates, leases, occupies, or uses the Government-funded property to provide priority access to that capacity.</w:t>
      </w:r>
    </w:p>
    <w:p w14:paraId="13FC9547" w14:textId="77777777" w:rsidR="005F139E" w:rsidRDefault="00FE120D">
      <w:pPr>
        <w:pStyle w:val="q-text"/>
        <w:spacing w:before="60" w:beforeAutospacing="0"/>
        <w:divId w:val="189340944"/>
        <w:rPr>
          <w:rFonts w:ascii="Calibri" w:hAnsi="Calibri" w:cs="Calibri"/>
          <w:color w:val="000000"/>
          <w:sz w:val="22"/>
          <w:szCs w:val="22"/>
        </w:rPr>
      </w:pPr>
      <w:r>
        <w:rPr>
          <w:rStyle w:val="q-num1"/>
          <w:rFonts w:ascii="Calibri" w:hAnsi="Calibri" w:cs="Calibri"/>
          <w:b/>
          <w:bCs/>
          <w:sz w:val="22"/>
          <w:szCs w:val="22"/>
        </w:rPr>
        <w:t>[41]</w:t>
      </w:r>
      <w:r>
        <w:rPr>
          <w:rFonts w:ascii="Calibri" w:hAnsi="Calibri" w:cs="Calibri"/>
          <w:color w:val="000000"/>
          <w:sz w:val="22"/>
          <w:szCs w:val="22"/>
        </w:rPr>
        <w:t xml:space="preserve"> If Government funding is applied exclusively to manufacturing equipment, do the Section 2.5 covenants extend to the real property housing the equipment?</w:t>
      </w:r>
    </w:p>
    <w:p w14:paraId="5BF78993" w14:textId="0B7F06E3" w:rsidR="005F139E" w:rsidRPr="0055455A" w:rsidRDefault="00FE120D" w:rsidP="00664DA0">
      <w:pPr>
        <w:pStyle w:val="a-text"/>
        <w:spacing w:after="60" w:afterAutospacing="0"/>
        <w:divId w:val="189340944"/>
        <w:rPr>
          <w:rFonts w:ascii="Calibri" w:hAnsi="Calibri" w:cs="Calibri"/>
          <w:strike/>
          <w:color w:val="000000"/>
          <w:sz w:val="22"/>
          <w:szCs w:val="22"/>
        </w:rPr>
      </w:pPr>
      <w:r>
        <w:rPr>
          <w:rFonts w:ascii="Calibri" w:hAnsi="Calibri" w:cs="Calibri"/>
          <w:color w:val="000000"/>
          <w:sz w:val="22"/>
          <w:szCs w:val="22"/>
        </w:rPr>
        <w:t>Section 2.5 restrictions specifically govern the real property, equipment, or other assets funded by the Government</w:t>
      </w:r>
      <w:r w:rsidR="001477E7">
        <w:rPr>
          <w:rFonts w:ascii="Calibri" w:hAnsi="Calibri" w:cs="Calibri"/>
          <w:color w:val="000000"/>
          <w:sz w:val="22"/>
          <w:szCs w:val="22"/>
        </w:rPr>
        <w:t>.</w:t>
      </w:r>
      <w:r>
        <w:rPr>
          <w:rFonts w:ascii="Calibri" w:hAnsi="Calibri" w:cs="Calibri"/>
          <w:color w:val="000000"/>
          <w:sz w:val="22"/>
          <w:szCs w:val="22"/>
        </w:rPr>
        <w:t xml:space="preserve"> </w:t>
      </w:r>
    </w:p>
    <w:p w14:paraId="4265C2DD" w14:textId="77777777" w:rsidR="005F139E" w:rsidRDefault="00FE120D">
      <w:pPr>
        <w:pStyle w:val="q-text"/>
        <w:spacing w:before="60" w:beforeAutospacing="0"/>
        <w:divId w:val="2032683065"/>
        <w:rPr>
          <w:rFonts w:ascii="Calibri" w:hAnsi="Calibri" w:cs="Calibri"/>
          <w:color w:val="000000"/>
          <w:sz w:val="22"/>
          <w:szCs w:val="22"/>
        </w:rPr>
      </w:pPr>
      <w:proofErr w:type="gramStart"/>
      <w:r>
        <w:rPr>
          <w:rStyle w:val="q-num1"/>
          <w:rFonts w:ascii="Calibri" w:hAnsi="Calibri" w:cs="Calibri"/>
          <w:b/>
          <w:bCs/>
          <w:sz w:val="22"/>
          <w:szCs w:val="22"/>
        </w:rPr>
        <w:t>[42]</w:t>
      </w:r>
      <w:r>
        <w:rPr>
          <w:rFonts w:ascii="Calibri" w:hAnsi="Calibri" w:cs="Calibri"/>
          <w:color w:val="000000"/>
          <w:sz w:val="22"/>
          <w:szCs w:val="22"/>
        </w:rPr>
        <w:t xml:space="preserve"> May</w:t>
      </w:r>
      <w:proofErr w:type="gramEnd"/>
      <w:r>
        <w:rPr>
          <w:rFonts w:ascii="Calibri" w:hAnsi="Calibri" w:cs="Calibri"/>
          <w:color w:val="000000"/>
          <w:sz w:val="22"/>
          <w:szCs w:val="22"/>
        </w:rPr>
        <w:t xml:space="preserve"> the facility housing Government-funded equipment be owned by a third party, provided the Performer maintains required control over the Government-funded assets?</w:t>
      </w:r>
    </w:p>
    <w:p w14:paraId="54F178CB" w14:textId="2E10B7EF" w:rsidR="005F139E" w:rsidRDefault="00FE120D" w:rsidP="00664DA0">
      <w:pPr>
        <w:pStyle w:val="a-text"/>
        <w:spacing w:after="60" w:afterAutospacing="0"/>
        <w:divId w:val="2032683065"/>
        <w:rPr>
          <w:rFonts w:ascii="Calibri" w:hAnsi="Calibri" w:cs="Calibri"/>
          <w:color w:val="000000"/>
          <w:sz w:val="22"/>
          <w:szCs w:val="22"/>
        </w:rPr>
      </w:pPr>
      <w:r>
        <w:rPr>
          <w:rFonts w:ascii="Calibri" w:hAnsi="Calibri" w:cs="Calibri"/>
          <w:color w:val="000000"/>
          <w:sz w:val="22"/>
          <w:szCs w:val="22"/>
        </w:rPr>
        <w:t xml:space="preserve">Yes, but the third party becomes bound by the covenants. </w:t>
      </w:r>
    </w:p>
    <w:p w14:paraId="4EB3DBC9" w14:textId="77777777" w:rsidR="005F139E" w:rsidRDefault="00FE120D">
      <w:pPr>
        <w:pStyle w:val="q-text"/>
        <w:spacing w:before="60" w:beforeAutospacing="0"/>
        <w:divId w:val="1128549111"/>
        <w:rPr>
          <w:rFonts w:ascii="Calibri" w:hAnsi="Calibri" w:cs="Calibri"/>
          <w:color w:val="000000"/>
          <w:sz w:val="22"/>
          <w:szCs w:val="22"/>
        </w:rPr>
      </w:pPr>
      <w:r>
        <w:rPr>
          <w:rStyle w:val="q-num1"/>
          <w:rFonts w:ascii="Calibri" w:hAnsi="Calibri" w:cs="Calibri"/>
          <w:b/>
          <w:bCs/>
          <w:sz w:val="22"/>
          <w:szCs w:val="22"/>
        </w:rPr>
        <w:t>[43]</w:t>
      </w:r>
      <w:r>
        <w:rPr>
          <w:rFonts w:ascii="Calibri" w:hAnsi="Calibri" w:cs="Calibri"/>
          <w:color w:val="000000"/>
          <w:sz w:val="22"/>
          <w:szCs w:val="22"/>
        </w:rPr>
        <w:t xml:space="preserve"> May the housing facility be financed or mortgaged by its owner, provided the Government-funded equipment itself is not pledged as collateral?</w:t>
      </w:r>
    </w:p>
    <w:p w14:paraId="65039844" w14:textId="39DB5320" w:rsidR="005F139E" w:rsidRDefault="00FE120D" w:rsidP="00664DA0">
      <w:pPr>
        <w:pStyle w:val="a-text"/>
        <w:spacing w:after="60" w:afterAutospacing="0"/>
        <w:divId w:val="1128549111"/>
        <w:rPr>
          <w:rFonts w:ascii="Calibri" w:hAnsi="Calibri" w:cs="Calibri"/>
          <w:color w:val="000000"/>
          <w:sz w:val="22"/>
          <w:szCs w:val="22"/>
        </w:rPr>
      </w:pPr>
      <w:r>
        <w:rPr>
          <w:rFonts w:ascii="Calibri" w:hAnsi="Calibri" w:cs="Calibri"/>
          <w:color w:val="000000"/>
          <w:sz w:val="22"/>
          <w:szCs w:val="22"/>
        </w:rPr>
        <w:t xml:space="preserve">Only if the financing does not conflict with the USG-funded assets. </w:t>
      </w:r>
    </w:p>
    <w:p w14:paraId="55F55845" w14:textId="77777777" w:rsidR="005F139E" w:rsidRDefault="00FE120D">
      <w:pPr>
        <w:pStyle w:val="q-text"/>
        <w:spacing w:before="60" w:beforeAutospacing="0"/>
        <w:divId w:val="62728576"/>
        <w:rPr>
          <w:rFonts w:ascii="Calibri" w:hAnsi="Calibri" w:cs="Calibri"/>
          <w:color w:val="000000"/>
          <w:sz w:val="22"/>
          <w:szCs w:val="22"/>
        </w:rPr>
      </w:pPr>
      <w:r>
        <w:rPr>
          <w:rStyle w:val="q-num1"/>
          <w:rFonts w:ascii="Calibri" w:hAnsi="Calibri" w:cs="Calibri"/>
          <w:b/>
          <w:bCs/>
          <w:sz w:val="22"/>
          <w:szCs w:val="22"/>
        </w:rPr>
        <w:t>[44]</w:t>
      </w:r>
      <w:r>
        <w:rPr>
          <w:rFonts w:ascii="Calibri" w:hAnsi="Calibri" w:cs="Calibri"/>
          <w:color w:val="000000"/>
          <w:sz w:val="22"/>
          <w:szCs w:val="22"/>
        </w:rPr>
        <w:t xml:space="preserve"> Does the priority access covenant apply solely to output from Government-funded capacity, or to total facility output?</w:t>
      </w:r>
    </w:p>
    <w:p w14:paraId="40483AAA" w14:textId="16E97777" w:rsidR="005F139E" w:rsidRDefault="00FE120D">
      <w:pPr>
        <w:pStyle w:val="a-text"/>
        <w:spacing w:after="60" w:afterAutospacing="0"/>
        <w:divId w:val="62728576"/>
        <w:rPr>
          <w:rFonts w:ascii="Calibri" w:hAnsi="Calibri" w:cs="Calibri"/>
          <w:color w:val="000000"/>
          <w:sz w:val="22"/>
          <w:szCs w:val="22"/>
        </w:rPr>
      </w:pPr>
      <w:r>
        <w:rPr>
          <w:rFonts w:ascii="Calibri" w:hAnsi="Calibri" w:cs="Calibri"/>
          <w:color w:val="000000"/>
          <w:sz w:val="22"/>
          <w:szCs w:val="22"/>
        </w:rPr>
        <w:t>The covenant applies directly to the Government-funded capacity. However, during an emergency, Section 2.5 mandates that any entity using the property must provide priority access to that funded surge capacity to meet U.S. demand.</w:t>
      </w:r>
    </w:p>
    <w:p w14:paraId="2DFF5F4E" w14:textId="77777777" w:rsidR="005F139E" w:rsidRDefault="00FE120D">
      <w:pPr>
        <w:pStyle w:val="q-text"/>
        <w:spacing w:before="60" w:beforeAutospacing="0"/>
        <w:divId w:val="381488556"/>
        <w:rPr>
          <w:rFonts w:ascii="Calibri" w:hAnsi="Calibri" w:cs="Calibri"/>
          <w:color w:val="000000"/>
          <w:sz w:val="22"/>
          <w:szCs w:val="22"/>
        </w:rPr>
      </w:pPr>
      <w:r>
        <w:rPr>
          <w:rStyle w:val="q-num1"/>
          <w:rFonts w:ascii="Calibri" w:hAnsi="Calibri" w:cs="Calibri"/>
          <w:b/>
          <w:bCs/>
          <w:sz w:val="22"/>
          <w:szCs w:val="22"/>
        </w:rPr>
        <w:t>[45]</w:t>
      </w:r>
      <w:r>
        <w:rPr>
          <w:rFonts w:ascii="Calibri" w:hAnsi="Calibri" w:cs="Calibri"/>
          <w:color w:val="000000"/>
          <w:sz w:val="22"/>
          <w:szCs w:val="22"/>
        </w:rPr>
        <w:t xml:space="preserve"> Does the U.S.-demand-first covenant apply solely to Government-funded output, or total facility output?</w:t>
      </w:r>
    </w:p>
    <w:p w14:paraId="38F7FB1E" w14:textId="1A992ACC" w:rsidR="005F139E" w:rsidRDefault="00FE120D">
      <w:pPr>
        <w:pStyle w:val="a-text"/>
        <w:spacing w:after="60" w:afterAutospacing="0"/>
        <w:divId w:val="381488556"/>
        <w:rPr>
          <w:rFonts w:ascii="Calibri" w:hAnsi="Calibri" w:cs="Calibri"/>
          <w:color w:val="000000"/>
          <w:sz w:val="22"/>
          <w:szCs w:val="22"/>
        </w:rPr>
      </w:pPr>
      <w:r>
        <w:rPr>
          <w:rFonts w:ascii="Calibri" w:hAnsi="Calibri" w:cs="Calibri"/>
          <w:color w:val="000000"/>
          <w:sz w:val="22"/>
          <w:szCs w:val="22"/>
        </w:rPr>
        <w:t xml:space="preserve">The RPP </w:t>
      </w:r>
      <w:r w:rsidR="00545274">
        <w:rPr>
          <w:rFonts w:ascii="Calibri" w:hAnsi="Calibri" w:cs="Calibri"/>
          <w:color w:val="000000"/>
          <w:sz w:val="22"/>
          <w:szCs w:val="22"/>
        </w:rPr>
        <w:t>Section 2.5</w:t>
      </w:r>
      <w:r>
        <w:rPr>
          <w:rFonts w:ascii="Calibri" w:hAnsi="Calibri" w:cs="Calibri"/>
          <w:color w:val="000000"/>
          <w:sz w:val="22"/>
          <w:szCs w:val="22"/>
        </w:rPr>
        <w:t xml:space="preserve"> specifically states the Performer must prioritize utilizing USG-funded capacity to meet U.S. market demand before meeting global market demands.</w:t>
      </w:r>
    </w:p>
    <w:p w14:paraId="1C698831" w14:textId="77777777" w:rsidR="005F139E" w:rsidRDefault="00FE120D">
      <w:pPr>
        <w:pStyle w:val="q-text"/>
        <w:spacing w:before="60" w:beforeAutospacing="0"/>
        <w:divId w:val="124937085"/>
        <w:rPr>
          <w:rFonts w:ascii="Calibri" w:hAnsi="Calibri" w:cs="Calibri"/>
          <w:color w:val="000000"/>
          <w:sz w:val="22"/>
          <w:szCs w:val="22"/>
        </w:rPr>
      </w:pPr>
      <w:r>
        <w:rPr>
          <w:rStyle w:val="q-num1"/>
          <w:rFonts w:ascii="Calibri" w:hAnsi="Calibri" w:cs="Calibri"/>
          <w:b/>
          <w:bCs/>
          <w:sz w:val="22"/>
          <w:szCs w:val="22"/>
        </w:rPr>
        <w:lastRenderedPageBreak/>
        <w:t>[46]</w:t>
      </w:r>
      <w:r>
        <w:rPr>
          <w:rFonts w:ascii="Calibri" w:hAnsi="Calibri" w:cs="Calibri"/>
          <w:color w:val="000000"/>
          <w:sz w:val="22"/>
          <w:szCs w:val="22"/>
        </w:rPr>
        <w:t xml:space="preserve"> Will the Performer retain title to equipment/property acquired with Government funding?</w:t>
      </w:r>
    </w:p>
    <w:p w14:paraId="179A6E8F" w14:textId="1FDEDBAB" w:rsidR="003653C3" w:rsidRDefault="00FE120D" w:rsidP="004425F5">
      <w:pPr>
        <w:pStyle w:val="a-text"/>
        <w:spacing w:after="60" w:afterAutospacing="0"/>
        <w:divId w:val="124937085"/>
        <w:rPr>
          <w:rFonts w:ascii="Calibri" w:hAnsi="Calibri" w:cs="Calibri"/>
          <w:color w:val="000000"/>
          <w:sz w:val="22"/>
          <w:szCs w:val="22"/>
        </w:rPr>
      </w:pPr>
      <w:r>
        <w:rPr>
          <w:rFonts w:ascii="Calibri" w:hAnsi="Calibri" w:cs="Calibri"/>
          <w:color w:val="000000"/>
          <w:sz w:val="22"/>
          <w:szCs w:val="22"/>
        </w:rPr>
        <w:t>For Fixed Price agreements, the performer retains title to all property unless otherwise directed. For Cost Reimbursable agreements, items with unit cost under $10,000 remain with the performer; for items over $10,000, the Government reserves the right to retain or transfer title.</w:t>
      </w:r>
    </w:p>
    <w:p w14:paraId="1A90249D" w14:textId="77777777" w:rsidR="005F139E" w:rsidRDefault="00FE120D">
      <w:pPr>
        <w:pStyle w:val="q-text"/>
        <w:spacing w:before="60" w:beforeAutospacing="0"/>
        <w:divId w:val="1461260837"/>
        <w:rPr>
          <w:rFonts w:ascii="Calibri" w:hAnsi="Calibri" w:cs="Calibri"/>
          <w:color w:val="000000"/>
          <w:sz w:val="22"/>
          <w:szCs w:val="22"/>
        </w:rPr>
      </w:pPr>
      <w:r>
        <w:rPr>
          <w:rStyle w:val="q-num1"/>
          <w:rFonts w:ascii="Calibri" w:hAnsi="Calibri" w:cs="Calibri"/>
          <w:b/>
          <w:bCs/>
          <w:sz w:val="22"/>
          <w:szCs w:val="22"/>
        </w:rPr>
        <w:t>[80]</w:t>
      </w:r>
      <w:r>
        <w:rPr>
          <w:rFonts w:ascii="Calibri" w:hAnsi="Calibri" w:cs="Calibri"/>
          <w:color w:val="000000"/>
          <w:sz w:val="22"/>
          <w:szCs w:val="22"/>
        </w:rPr>
        <w:t xml:space="preserve"> Does the collateral restriction apply to the facility as a whole or only to Government-funded assets?</w:t>
      </w:r>
    </w:p>
    <w:p w14:paraId="26D96B83" w14:textId="1DBEC912" w:rsidR="005F139E" w:rsidRDefault="00FE120D">
      <w:pPr>
        <w:pStyle w:val="a-text"/>
        <w:spacing w:after="60" w:afterAutospacing="0"/>
        <w:divId w:val="1461260837"/>
        <w:rPr>
          <w:rFonts w:ascii="Calibri" w:hAnsi="Calibri" w:cs="Calibri"/>
          <w:color w:val="000000"/>
          <w:sz w:val="22"/>
          <w:szCs w:val="22"/>
        </w:rPr>
      </w:pPr>
      <w:r>
        <w:rPr>
          <w:rFonts w:ascii="Calibri" w:hAnsi="Calibri" w:cs="Calibri"/>
          <w:color w:val="000000"/>
          <w:sz w:val="22"/>
          <w:szCs w:val="22"/>
        </w:rPr>
        <w:t>The restriction focuses on real property, equipment, or other assets funded by the Government, including any shared facility space or equipment footprint that received federal funding or was credited as an in-kind cost share element.</w:t>
      </w:r>
    </w:p>
    <w:p w14:paraId="7DFE3736" w14:textId="77777777" w:rsidR="005F139E" w:rsidRDefault="00FE120D">
      <w:pPr>
        <w:pStyle w:val="q-text"/>
        <w:spacing w:before="60" w:beforeAutospacing="0"/>
        <w:divId w:val="509292806"/>
        <w:rPr>
          <w:rFonts w:ascii="Calibri" w:hAnsi="Calibri" w:cs="Calibri"/>
          <w:color w:val="000000"/>
          <w:sz w:val="22"/>
          <w:szCs w:val="22"/>
        </w:rPr>
      </w:pPr>
      <w:r>
        <w:rPr>
          <w:rStyle w:val="q-num1"/>
          <w:rFonts w:ascii="Calibri" w:hAnsi="Calibri" w:cs="Calibri"/>
          <w:b/>
          <w:bCs/>
          <w:sz w:val="22"/>
          <w:szCs w:val="22"/>
        </w:rPr>
        <w:t>[81]</w:t>
      </w:r>
      <w:r>
        <w:rPr>
          <w:rFonts w:ascii="Calibri" w:hAnsi="Calibri" w:cs="Calibri"/>
          <w:color w:val="000000"/>
          <w:sz w:val="22"/>
          <w:szCs w:val="22"/>
        </w:rPr>
        <w:t xml:space="preserve"> May assets acquired with non-federal funds (including the Performer's own contribution) be pledged as security?</w:t>
      </w:r>
    </w:p>
    <w:p w14:paraId="1C98FC6B" w14:textId="0DDF3B4C" w:rsidR="005F139E" w:rsidRDefault="00FE120D">
      <w:pPr>
        <w:pStyle w:val="a-text"/>
        <w:spacing w:after="60" w:afterAutospacing="0"/>
        <w:divId w:val="509292806"/>
        <w:rPr>
          <w:rFonts w:ascii="Calibri" w:hAnsi="Calibri" w:cs="Calibri"/>
          <w:color w:val="000000"/>
          <w:sz w:val="22"/>
          <w:szCs w:val="22"/>
        </w:rPr>
      </w:pPr>
      <w:r>
        <w:rPr>
          <w:rFonts w:ascii="Calibri" w:hAnsi="Calibri" w:cs="Calibri"/>
          <w:color w:val="000000"/>
          <w:sz w:val="22"/>
          <w:szCs w:val="22"/>
        </w:rPr>
        <w:t>Assets entirely separate from the project may be pledged, but any asset assigned as part of the project's Capitalization Plan or in-kind cost share becomes subject to Article 7.10 and Section 2.5 restrictions against collateralization.</w:t>
      </w:r>
    </w:p>
    <w:p w14:paraId="34185AA1" w14:textId="77777777" w:rsidR="005F139E" w:rsidRDefault="00FE120D">
      <w:pPr>
        <w:pStyle w:val="q-text"/>
        <w:spacing w:before="60" w:beforeAutospacing="0"/>
        <w:divId w:val="1201824353"/>
        <w:rPr>
          <w:rFonts w:ascii="Calibri" w:hAnsi="Calibri" w:cs="Calibri"/>
          <w:color w:val="000000"/>
          <w:sz w:val="22"/>
          <w:szCs w:val="22"/>
        </w:rPr>
      </w:pPr>
      <w:r>
        <w:rPr>
          <w:rStyle w:val="q-num1"/>
          <w:rFonts w:ascii="Calibri" w:hAnsi="Calibri" w:cs="Calibri"/>
          <w:b/>
          <w:bCs/>
          <w:sz w:val="22"/>
          <w:szCs w:val="22"/>
        </w:rPr>
        <w:t>[98]</w:t>
      </w:r>
      <w:r>
        <w:rPr>
          <w:rFonts w:ascii="Calibri" w:hAnsi="Calibri" w:cs="Calibri"/>
          <w:color w:val="000000"/>
          <w:sz w:val="22"/>
          <w:szCs w:val="22"/>
        </w:rPr>
        <w:t xml:space="preserve"> Does Performer-owned equipment/property offered as in-kind cost share, with title already vested in the Performer, fall within Base Agreement Article 7.10? If so, do the reserved-title-transfer and buy-back/disposition procedures apply at the conclusion of performance?</w:t>
      </w:r>
    </w:p>
    <w:p w14:paraId="2559B073" w14:textId="5E307E78" w:rsidR="005F139E" w:rsidRPr="0051689B" w:rsidRDefault="00FE120D" w:rsidP="00664DA0">
      <w:pPr>
        <w:pStyle w:val="a-text"/>
        <w:spacing w:after="60" w:afterAutospacing="0"/>
        <w:divId w:val="1201824353"/>
        <w:rPr>
          <w:rFonts w:ascii="Calibri" w:hAnsi="Calibri" w:cs="Calibri"/>
          <w:strike/>
          <w:color w:val="000000"/>
          <w:sz w:val="22"/>
          <w:szCs w:val="22"/>
        </w:rPr>
      </w:pPr>
      <w:r>
        <w:rPr>
          <w:rFonts w:ascii="Calibri" w:hAnsi="Calibri" w:cs="Calibri"/>
          <w:color w:val="000000"/>
          <w:sz w:val="22"/>
          <w:szCs w:val="22"/>
        </w:rPr>
        <w:t>Yes, property provided as in-kind cost share is subject to Article 7.10.</w:t>
      </w:r>
    </w:p>
    <w:p w14:paraId="7CD2FD12" w14:textId="77777777" w:rsidR="005F139E" w:rsidRDefault="00FE120D">
      <w:pPr>
        <w:pStyle w:val="q-text"/>
        <w:spacing w:before="60" w:beforeAutospacing="0"/>
        <w:divId w:val="1149902093"/>
        <w:rPr>
          <w:rFonts w:ascii="Calibri" w:hAnsi="Calibri" w:cs="Calibri"/>
          <w:color w:val="000000"/>
          <w:sz w:val="22"/>
          <w:szCs w:val="22"/>
        </w:rPr>
      </w:pPr>
      <w:r>
        <w:rPr>
          <w:rStyle w:val="q-num1"/>
          <w:rFonts w:ascii="Calibri" w:hAnsi="Calibri" w:cs="Calibri"/>
          <w:b/>
          <w:bCs/>
          <w:sz w:val="22"/>
          <w:szCs w:val="22"/>
        </w:rPr>
        <w:t>[99]</w:t>
      </w:r>
      <w:r>
        <w:rPr>
          <w:rFonts w:ascii="Calibri" w:hAnsi="Calibri" w:cs="Calibri"/>
          <w:color w:val="000000"/>
          <w:sz w:val="22"/>
          <w:szCs w:val="22"/>
        </w:rPr>
        <w:t xml:space="preserve"> Is production equipment identified in the cost proposal treated as having received Agreements Officer approval for the Performer to retain title? How does this operate alongside the Government's reserved right to transfer title for items ≥$10,000?</w:t>
      </w:r>
    </w:p>
    <w:p w14:paraId="45439ED0" w14:textId="7972F2A4" w:rsidR="005F139E" w:rsidRDefault="00FE120D">
      <w:pPr>
        <w:pStyle w:val="a-text"/>
        <w:spacing w:after="60" w:afterAutospacing="0"/>
        <w:divId w:val="1149902093"/>
        <w:rPr>
          <w:rFonts w:ascii="Calibri" w:hAnsi="Calibri" w:cs="Calibri"/>
          <w:color w:val="000000"/>
          <w:sz w:val="22"/>
          <w:szCs w:val="22"/>
        </w:rPr>
      </w:pPr>
      <w:r w:rsidRPr="00116302">
        <w:rPr>
          <w:rFonts w:ascii="Calibri" w:hAnsi="Calibri" w:cs="Calibri"/>
          <w:color w:val="000000"/>
          <w:sz w:val="22"/>
          <w:szCs w:val="22"/>
        </w:rPr>
        <w:t>All</w:t>
      </w:r>
      <w:r>
        <w:rPr>
          <w:rFonts w:ascii="Calibri" w:hAnsi="Calibri" w:cs="Calibri"/>
          <w:color w:val="000000"/>
          <w:sz w:val="22"/>
          <w:szCs w:val="22"/>
        </w:rPr>
        <w:t xml:space="preserve"> property included in the cost proposal is considered to have Agreements Officer approval to purchase. For property with unit acquisition cost of $10,000 or greater, the Government reserves the right to retain title or transfer to a third party.</w:t>
      </w:r>
    </w:p>
    <w:p w14:paraId="4E307464" w14:textId="77777777" w:rsidR="005F139E" w:rsidRDefault="00FE120D">
      <w:pPr>
        <w:pStyle w:val="q-text"/>
        <w:spacing w:before="60" w:beforeAutospacing="0"/>
        <w:divId w:val="437799170"/>
        <w:rPr>
          <w:rFonts w:ascii="Calibri" w:hAnsi="Calibri" w:cs="Calibri"/>
          <w:color w:val="000000"/>
          <w:sz w:val="22"/>
          <w:szCs w:val="22"/>
        </w:rPr>
      </w:pPr>
      <w:r>
        <w:rPr>
          <w:rStyle w:val="q-num1"/>
          <w:rFonts w:ascii="Calibri" w:hAnsi="Calibri" w:cs="Calibri"/>
          <w:b/>
          <w:bCs/>
          <w:sz w:val="22"/>
          <w:szCs w:val="22"/>
        </w:rPr>
        <w:t>[121]</w:t>
      </w:r>
      <w:r>
        <w:rPr>
          <w:rFonts w:ascii="Calibri" w:hAnsi="Calibri" w:cs="Calibri"/>
          <w:color w:val="000000"/>
          <w:sz w:val="22"/>
          <w:szCs w:val="22"/>
        </w:rPr>
        <w:t xml:space="preserve"> Does the collateral restriction apply to the entire facility, or only to the Government-funded pro-rata share of real property, equipment, and assets?</w:t>
      </w:r>
    </w:p>
    <w:p w14:paraId="4EFE8EA0" w14:textId="21D23F4E" w:rsidR="005F139E" w:rsidRPr="002E451F" w:rsidRDefault="002E451F" w:rsidP="002E451F">
      <w:pPr>
        <w:pStyle w:val="a-text"/>
        <w:spacing w:after="240"/>
        <w:divId w:val="437799170"/>
        <w:rPr>
          <w:rFonts w:ascii="Calibri" w:hAnsi="Calibri" w:cs="Calibri"/>
          <w:color w:val="000000"/>
          <w:sz w:val="22"/>
          <w:szCs w:val="22"/>
        </w:rPr>
      </w:pPr>
      <w:r w:rsidRPr="002E451F">
        <w:rPr>
          <w:rFonts w:ascii="Calibri" w:hAnsi="Calibri" w:cs="Calibri"/>
          <w:color w:val="000000"/>
          <w:sz w:val="22"/>
          <w:szCs w:val="22"/>
        </w:rPr>
        <w:t>The collateral restriction applies to assets identified in the Project Agreement as supporting the funded capacity. Mixed-funded, indivisible assets may be restricted in their entirety, but unrelated privately funded portions of the facility are not automatically subject to the restriction.</w:t>
      </w:r>
    </w:p>
    <w:p w14:paraId="16B264F2" w14:textId="77777777" w:rsidR="005F139E" w:rsidRDefault="00FE120D">
      <w:pPr>
        <w:pStyle w:val="Heading2"/>
        <w:rPr>
          <w:rFonts w:ascii="Calibri" w:eastAsia="Times New Roman" w:hAnsi="Calibri" w:cs="Calibri"/>
        </w:rPr>
      </w:pPr>
      <w:r>
        <w:rPr>
          <w:rFonts w:ascii="Calibri" w:eastAsia="Times New Roman" w:hAnsi="Calibri" w:cs="Calibri"/>
        </w:rPr>
        <w:t>16. Public Health Emergency Priority Access Mechanics</w:t>
      </w:r>
    </w:p>
    <w:p w14:paraId="54D76311" w14:textId="77777777" w:rsidR="005F139E" w:rsidRDefault="00FE120D">
      <w:pPr>
        <w:pStyle w:val="q-text"/>
        <w:spacing w:before="60" w:beforeAutospacing="0"/>
        <w:divId w:val="1941713817"/>
        <w:rPr>
          <w:rFonts w:ascii="Calibri" w:hAnsi="Calibri" w:cs="Calibri"/>
          <w:color w:val="000000"/>
          <w:sz w:val="22"/>
          <w:szCs w:val="22"/>
        </w:rPr>
      </w:pPr>
      <w:r>
        <w:rPr>
          <w:rStyle w:val="q-num1"/>
          <w:rFonts w:ascii="Calibri" w:hAnsi="Calibri" w:cs="Calibri"/>
          <w:b/>
          <w:bCs/>
          <w:sz w:val="22"/>
          <w:szCs w:val="22"/>
        </w:rPr>
        <w:t>[83]</w:t>
      </w:r>
      <w:r>
        <w:rPr>
          <w:rFonts w:ascii="Calibri" w:hAnsi="Calibri" w:cs="Calibri"/>
          <w:color w:val="000000"/>
          <w:sz w:val="22"/>
          <w:szCs w:val="22"/>
        </w:rPr>
        <w:t xml:space="preserve"> What is the pricing basis on which Government orders would be placed under the priority access provisions?</w:t>
      </w:r>
    </w:p>
    <w:p w14:paraId="23667E15" w14:textId="1FF46DCF" w:rsidR="006B5252" w:rsidRDefault="006B5252">
      <w:pPr>
        <w:pStyle w:val="a-text"/>
        <w:spacing w:after="60" w:afterAutospacing="0"/>
        <w:divId w:val="1941713817"/>
        <w:rPr>
          <w:rFonts w:ascii="Calibri" w:hAnsi="Calibri" w:cs="Calibri"/>
          <w:color w:val="000000"/>
          <w:sz w:val="22"/>
          <w:szCs w:val="22"/>
        </w:rPr>
      </w:pPr>
      <w:r w:rsidRPr="008857BC">
        <w:rPr>
          <w:rFonts w:ascii="Calibri" w:hAnsi="Calibri" w:cs="Calibri"/>
          <w:color w:val="000000"/>
          <w:sz w:val="22"/>
          <w:szCs w:val="22"/>
        </w:rPr>
        <w:t>The pricing basis for Government orders placed under the 10-year priority access covenant (</w:t>
      </w:r>
      <w:r w:rsidR="008857BC" w:rsidRPr="008857BC">
        <w:rPr>
          <w:rFonts w:ascii="Calibri" w:hAnsi="Calibri" w:cs="Calibri"/>
          <w:color w:val="000000"/>
          <w:sz w:val="22"/>
          <w:szCs w:val="22"/>
        </w:rPr>
        <w:t xml:space="preserve">RPP </w:t>
      </w:r>
      <w:r w:rsidRPr="008857BC">
        <w:rPr>
          <w:rFonts w:ascii="Calibri" w:hAnsi="Calibri" w:cs="Calibri"/>
          <w:color w:val="000000"/>
          <w:sz w:val="22"/>
          <w:szCs w:val="22"/>
        </w:rPr>
        <w:t>Section 2.</w:t>
      </w:r>
      <w:r w:rsidR="008857BC" w:rsidRPr="008857BC">
        <w:rPr>
          <w:rFonts w:ascii="Calibri" w:hAnsi="Calibri" w:cs="Calibri"/>
          <w:color w:val="000000"/>
          <w:sz w:val="22"/>
          <w:szCs w:val="22"/>
        </w:rPr>
        <w:t>5</w:t>
      </w:r>
      <w:r w:rsidRPr="008857BC">
        <w:rPr>
          <w:rFonts w:ascii="Calibri" w:hAnsi="Calibri" w:cs="Calibri"/>
          <w:color w:val="000000"/>
          <w:sz w:val="22"/>
          <w:szCs w:val="22"/>
        </w:rPr>
        <w:t>) has not yet been defined and will be established at the time a Public Health Emergency is declared and the covenant is activated. This is distinct from the Priority Rating mechanism described in Section 7</w:t>
      </w:r>
      <w:r w:rsidR="008857BC" w:rsidRPr="008857BC">
        <w:rPr>
          <w:rFonts w:ascii="Calibri" w:hAnsi="Calibri" w:cs="Calibri"/>
          <w:color w:val="000000"/>
          <w:sz w:val="22"/>
          <w:szCs w:val="22"/>
        </w:rPr>
        <w:t xml:space="preserve"> of RPP Attachment A</w:t>
      </w:r>
      <w:r w:rsidRPr="008857BC">
        <w:rPr>
          <w:rFonts w:ascii="Calibri" w:hAnsi="Calibri" w:cs="Calibri"/>
          <w:color w:val="000000"/>
          <w:sz w:val="22"/>
          <w:szCs w:val="22"/>
        </w:rPr>
        <w:t>, which concerns</w:t>
      </w:r>
      <w:r w:rsidRPr="006B5252">
        <w:rPr>
          <w:rFonts w:ascii="Calibri" w:hAnsi="Calibri" w:cs="Calibri"/>
          <w:color w:val="000000"/>
          <w:sz w:val="22"/>
          <w:szCs w:val="22"/>
        </w:rPr>
        <w:t xml:space="preserve"> the Project Agreement's standing under the Defense Production Act Title I authorities (45 CFR Part 101; 15 CFR Part 700) for purposes of the Performer obtaining materials and </w:t>
      </w:r>
      <w:proofErr w:type="gramStart"/>
      <w:r w:rsidRPr="006B5252">
        <w:rPr>
          <w:rFonts w:ascii="Calibri" w:hAnsi="Calibri" w:cs="Calibri"/>
          <w:color w:val="000000"/>
          <w:sz w:val="22"/>
          <w:szCs w:val="22"/>
        </w:rPr>
        <w:t>equipment, and</w:t>
      </w:r>
      <w:proofErr w:type="gramEnd"/>
      <w:r w:rsidRPr="006B5252">
        <w:rPr>
          <w:rFonts w:ascii="Calibri" w:hAnsi="Calibri" w:cs="Calibri"/>
          <w:color w:val="000000"/>
          <w:sz w:val="22"/>
          <w:szCs w:val="22"/>
        </w:rPr>
        <w:t xml:space="preserve"> does not itself establish a pricing basis for Government purchases of finished gloves under the 10-year capacity-access covenant.</w:t>
      </w:r>
    </w:p>
    <w:p w14:paraId="380E47D7" w14:textId="77777777" w:rsidR="005F139E" w:rsidRDefault="00FE120D">
      <w:pPr>
        <w:pStyle w:val="q-text"/>
        <w:spacing w:before="60" w:beforeAutospacing="0"/>
        <w:divId w:val="223219213"/>
        <w:rPr>
          <w:rFonts w:ascii="Calibri" w:hAnsi="Calibri" w:cs="Calibri"/>
          <w:color w:val="000000"/>
          <w:sz w:val="22"/>
          <w:szCs w:val="22"/>
        </w:rPr>
      </w:pPr>
      <w:r>
        <w:rPr>
          <w:rStyle w:val="q-num1"/>
          <w:rFonts w:ascii="Calibri" w:hAnsi="Calibri" w:cs="Calibri"/>
          <w:b/>
          <w:bCs/>
          <w:sz w:val="22"/>
          <w:szCs w:val="22"/>
        </w:rPr>
        <w:t>[84]</w:t>
      </w:r>
      <w:r>
        <w:rPr>
          <w:rFonts w:ascii="Calibri" w:hAnsi="Calibri" w:cs="Calibri"/>
          <w:color w:val="000000"/>
          <w:sz w:val="22"/>
          <w:szCs w:val="22"/>
        </w:rPr>
        <w:t xml:space="preserve"> Please identify any volume or reservation levels associated with the priority access obligation.</w:t>
      </w:r>
    </w:p>
    <w:p w14:paraId="16E6D4A1" w14:textId="6FA7D5AE" w:rsidR="005F139E" w:rsidRDefault="00FE120D">
      <w:pPr>
        <w:pStyle w:val="a-text"/>
        <w:spacing w:after="60" w:afterAutospacing="0"/>
        <w:divId w:val="223219213"/>
        <w:rPr>
          <w:rFonts w:ascii="Calibri" w:hAnsi="Calibri" w:cs="Calibri"/>
          <w:color w:val="000000"/>
          <w:sz w:val="22"/>
          <w:szCs w:val="22"/>
        </w:rPr>
      </w:pPr>
      <w:r>
        <w:rPr>
          <w:rFonts w:ascii="Calibri" w:hAnsi="Calibri" w:cs="Calibri"/>
          <w:color w:val="000000"/>
          <w:sz w:val="22"/>
          <w:szCs w:val="22"/>
        </w:rPr>
        <w:t>There are no predefined volume ceilings; the covenant mandates prioritizing USG-funded capacity to meet U.S. market demand before fulfilling any global or foreign market demands during a Public Health Emergency.</w:t>
      </w:r>
    </w:p>
    <w:p w14:paraId="3077EFF1" w14:textId="77777777" w:rsidR="005F139E" w:rsidRDefault="00FE120D">
      <w:pPr>
        <w:pStyle w:val="q-text"/>
        <w:spacing w:before="60" w:beforeAutospacing="0"/>
        <w:divId w:val="195584598"/>
        <w:rPr>
          <w:rFonts w:ascii="Calibri" w:hAnsi="Calibri" w:cs="Calibri"/>
          <w:color w:val="000000"/>
          <w:sz w:val="22"/>
          <w:szCs w:val="22"/>
        </w:rPr>
      </w:pPr>
      <w:r>
        <w:rPr>
          <w:rStyle w:val="q-num1"/>
          <w:rFonts w:ascii="Calibri" w:hAnsi="Calibri" w:cs="Calibri"/>
          <w:b/>
          <w:bCs/>
          <w:sz w:val="22"/>
          <w:szCs w:val="22"/>
        </w:rPr>
        <w:t>[85]</w:t>
      </w:r>
      <w:r>
        <w:rPr>
          <w:rFonts w:ascii="Calibri" w:hAnsi="Calibri" w:cs="Calibri"/>
          <w:color w:val="000000"/>
          <w:sz w:val="22"/>
          <w:szCs w:val="22"/>
        </w:rPr>
        <w:t xml:space="preserve"> Please identify the notice period applicable to activation of the priority access obligation.</w:t>
      </w:r>
    </w:p>
    <w:p w14:paraId="043CC706" w14:textId="6D036E76" w:rsidR="005F139E" w:rsidRDefault="00FE120D">
      <w:pPr>
        <w:pStyle w:val="a-text"/>
        <w:spacing w:after="60" w:afterAutospacing="0"/>
        <w:divId w:val="195584598"/>
        <w:rPr>
          <w:rFonts w:ascii="Calibri" w:hAnsi="Calibri" w:cs="Calibri"/>
          <w:color w:val="000000"/>
          <w:sz w:val="22"/>
          <w:szCs w:val="22"/>
        </w:rPr>
      </w:pPr>
      <w:r>
        <w:rPr>
          <w:rFonts w:ascii="Calibri" w:hAnsi="Calibri" w:cs="Calibri"/>
          <w:color w:val="000000"/>
          <w:sz w:val="22"/>
          <w:szCs w:val="22"/>
        </w:rPr>
        <w:t>The obligation is activated instantly upon the formal declaration of a Public Health Emergency by the HHS Secretary or a Public Health Emergency of International Concern (PHEIC) by the WHO.</w:t>
      </w:r>
    </w:p>
    <w:p w14:paraId="2AABD5D2" w14:textId="77777777" w:rsidR="005F139E" w:rsidRDefault="00FE120D">
      <w:pPr>
        <w:pStyle w:val="q-text"/>
        <w:spacing w:before="60" w:beforeAutospacing="0"/>
        <w:divId w:val="363673037"/>
        <w:rPr>
          <w:rFonts w:ascii="Calibri" w:hAnsi="Calibri" w:cs="Calibri"/>
          <w:color w:val="000000"/>
          <w:sz w:val="22"/>
          <w:szCs w:val="22"/>
        </w:rPr>
      </w:pPr>
      <w:r>
        <w:rPr>
          <w:rStyle w:val="q-num1"/>
          <w:rFonts w:ascii="Calibri" w:hAnsi="Calibri" w:cs="Calibri"/>
          <w:b/>
          <w:bCs/>
          <w:sz w:val="22"/>
          <w:szCs w:val="22"/>
        </w:rPr>
        <w:t>[86]</w:t>
      </w:r>
      <w:r>
        <w:rPr>
          <w:rFonts w:ascii="Calibri" w:hAnsi="Calibri" w:cs="Calibri"/>
          <w:color w:val="000000"/>
          <w:sz w:val="22"/>
          <w:szCs w:val="22"/>
        </w:rPr>
        <w:t xml:space="preserve"> How do the priority access and U.S.-demand-first obligations interact with a Performer's existing and future commercial supply commitments?</w:t>
      </w:r>
    </w:p>
    <w:p w14:paraId="1D36AC50" w14:textId="188010CC" w:rsidR="005F139E" w:rsidRDefault="00FE120D">
      <w:pPr>
        <w:pStyle w:val="a-text"/>
        <w:spacing w:after="60" w:afterAutospacing="0"/>
        <w:divId w:val="363673037"/>
        <w:rPr>
          <w:rFonts w:ascii="Calibri" w:hAnsi="Calibri" w:cs="Calibri"/>
          <w:color w:val="000000"/>
          <w:sz w:val="22"/>
          <w:szCs w:val="22"/>
        </w:rPr>
      </w:pPr>
      <w:r>
        <w:rPr>
          <w:rFonts w:ascii="Calibri" w:hAnsi="Calibri" w:cs="Calibri"/>
          <w:color w:val="000000"/>
          <w:sz w:val="22"/>
          <w:szCs w:val="22"/>
        </w:rPr>
        <w:lastRenderedPageBreak/>
        <w:t xml:space="preserve">The required corporate bylaw amendments legally compel the company to place U.S. emergency demand first. Commercial supply contracts signed post-award must be structured to accommodate this mandatory federal priority access </w:t>
      </w:r>
      <w:r w:rsidR="00FF38D1">
        <w:rPr>
          <w:rFonts w:ascii="Calibri" w:hAnsi="Calibri" w:cs="Calibri"/>
          <w:color w:val="000000"/>
          <w:sz w:val="22"/>
          <w:szCs w:val="22"/>
        </w:rPr>
        <w:t>requirement</w:t>
      </w:r>
      <w:r>
        <w:rPr>
          <w:rFonts w:ascii="Calibri" w:hAnsi="Calibri" w:cs="Calibri"/>
          <w:color w:val="000000"/>
          <w:sz w:val="22"/>
          <w:szCs w:val="22"/>
        </w:rPr>
        <w:t>.</w:t>
      </w:r>
    </w:p>
    <w:p w14:paraId="557D366E" w14:textId="041131B0" w:rsidR="005F139E" w:rsidRDefault="00FE120D">
      <w:pPr>
        <w:pStyle w:val="q-text"/>
        <w:spacing w:before="60" w:beforeAutospacing="0"/>
        <w:divId w:val="2137329605"/>
        <w:rPr>
          <w:rFonts w:ascii="Calibri" w:hAnsi="Calibri" w:cs="Calibri"/>
          <w:color w:val="000000"/>
          <w:sz w:val="22"/>
          <w:szCs w:val="22"/>
        </w:rPr>
      </w:pPr>
      <w:r>
        <w:rPr>
          <w:rStyle w:val="q-num1"/>
          <w:rFonts w:ascii="Calibri" w:hAnsi="Calibri" w:cs="Calibri"/>
          <w:b/>
          <w:bCs/>
          <w:sz w:val="22"/>
          <w:szCs w:val="22"/>
        </w:rPr>
        <w:t>[87]</w:t>
      </w:r>
      <w:r>
        <w:rPr>
          <w:rFonts w:ascii="Calibri" w:hAnsi="Calibri" w:cs="Calibri"/>
          <w:color w:val="000000"/>
          <w:sz w:val="22"/>
          <w:szCs w:val="22"/>
        </w:rPr>
        <w:t xml:space="preserve"> Please provide the specific governance language required, or a model form, so </w:t>
      </w:r>
      <w:r w:rsidR="00CF17A9">
        <w:rPr>
          <w:rFonts w:ascii="Calibri" w:hAnsi="Calibri" w:cs="Calibri"/>
          <w:color w:val="000000"/>
          <w:sz w:val="22"/>
          <w:szCs w:val="22"/>
        </w:rPr>
        <w:t>Respondents</w:t>
      </w:r>
      <w:r>
        <w:rPr>
          <w:rFonts w:ascii="Calibri" w:hAnsi="Calibri" w:cs="Calibri"/>
          <w:color w:val="000000"/>
          <w:sz w:val="22"/>
          <w:szCs w:val="22"/>
        </w:rPr>
        <w:t xml:space="preserve"> can confirm the commitment is achievable within 90 days of award.</w:t>
      </w:r>
    </w:p>
    <w:p w14:paraId="3F9DEABC" w14:textId="6ACB5391" w:rsidR="005F139E" w:rsidRDefault="00FE120D">
      <w:pPr>
        <w:pStyle w:val="a-text"/>
        <w:spacing w:after="60" w:afterAutospacing="0"/>
        <w:divId w:val="2137329605"/>
        <w:rPr>
          <w:rFonts w:ascii="Calibri" w:hAnsi="Calibri" w:cs="Calibri"/>
          <w:color w:val="000000"/>
          <w:sz w:val="22"/>
          <w:szCs w:val="22"/>
        </w:rPr>
      </w:pPr>
      <w:r>
        <w:rPr>
          <w:rFonts w:ascii="Calibri" w:hAnsi="Calibri" w:cs="Calibri"/>
          <w:color w:val="000000"/>
          <w:sz w:val="22"/>
          <w:szCs w:val="22"/>
        </w:rPr>
        <w:t>The mandatory legal parameters are strictly listed as four distinct bullet points under Section 2.5 (Minimum Eligibility Criteria) on Page 7 of the RPP. Performers must legally integrate these exact conditions into their corporate structure.</w:t>
      </w:r>
    </w:p>
    <w:p w14:paraId="284300CB" w14:textId="77777777" w:rsidR="005F139E" w:rsidRDefault="00FE120D">
      <w:pPr>
        <w:pStyle w:val="q-text"/>
        <w:spacing w:before="60" w:beforeAutospacing="0"/>
        <w:divId w:val="1933272839"/>
        <w:rPr>
          <w:rFonts w:ascii="Calibri" w:hAnsi="Calibri" w:cs="Calibri"/>
          <w:color w:val="000000"/>
          <w:sz w:val="22"/>
          <w:szCs w:val="22"/>
        </w:rPr>
      </w:pPr>
      <w:r>
        <w:rPr>
          <w:rStyle w:val="q-num1"/>
          <w:rFonts w:ascii="Calibri" w:hAnsi="Calibri" w:cs="Calibri"/>
          <w:b/>
          <w:bCs/>
          <w:sz w:val="22"/>
          <w:szCs w:val="22"/>
        </w:rPr>
        <w:t>[88]</w:t>
      </w:r>
      <w:r>
        <w:rPr>
          <w:rFonts w:ascii="Calibri" w:hAnsi="Calibri" w:cs="Calibri"/>
          <w:color w:val="000000"/>
          <w:sz w:val="22"/>
          <w:szCs w:val="22"/>
        </w:rPr>
        <w:t xml:space="preserve"> May a board resolution, operating agreement amendment, or officer certification satisfy the requirement, to accommodate LLCs governed by operating agreements rather than bylaws?</w:t>
      </w:r>
    </w:p>
    <w:p w14:paraId="79A03E11" w14:textId="73B97CA9" w:rsidR="005F139E" w:rsidRPr="00EC1063" w:rsidRDefault="004A1274" w:rsidP="00EC1063">
      <w:pPr>
        <w:pStyle w:val="a-text"/>
        <w:spacing w:after="240" w:afterAutospacing="0"/>
        <w:divId w:val="1933272839"/>
        <w:rPr>
          <w:rFonts w:ascii="Calibri" w:hAnsi="Calibri" w:cs="Calibri"/>
          <w:color w:val="000000"/>
          <w:sz w:val="22"/>
          <w:szCs w:val="22"/>
        </w:rPr>
      </w:pPr>
      <w:r w:rsidRPr="004A1274">
        <w:rPr>
          <w:rFonts w:ascii="Calibri" w:hAnsi="Calibri" w:cs="Calibri"/>
          <w:color w:val="000000"/>
          <w:sz w:val="22"/>
          <w:szCs w:val="22"/>
        </w:rPr>
        <w:t>The RPP explicitly demands that "corporate bylaws will be amended" as stated in RPP Section 2.5.  </w:t>
      </w:r>
      <w:r w:rsidR="001D33C6">
        <w:rPr>
          <w:rFonts w:ascii="Calibri" w:hAnsi="Calibri" w:cs="Calibri"/>
          <w:color w:val="000000"/>
          <w:sz w:val="22"/>
          <w:szCs w:val="22"/>
        </w:rPr>
        <w:t>T</w:t>
      </w:r>
      <w:r w:rsidRPr="004A1274">
        <w:rPr>
          <w:rFonts w:ascii="Calibri" w:hAnsi="Calibri" w:cs="Calibri"/>
          <w:color w:val="000000"/>
          <w:sz w:val="22"/>
          <w:szCs w:val="22"/>
        </w:rPr>
        <w:t>he legal equivalent to corporate bylaw amendments will be accepted, but individual officer certification will not be accepted.</w:t>
      </w:r>
    </w:p>
    <w:p w14:paraId="137A086A" w14:textId="77777777" w:rsidR="005F139E" w:rsidRDefault="00FE120D">
      <w:pPr>
        <w:pStyle w:val="Heading2"/>
        <w:rPr>
          <w:rFonts w:ascii="Calibri" w:eastAsia="Times New Roman" w:hAnsi="Calibri" w:cs="Calibri"/>
        </w:rPr>
      </w:pPr>
      <w:r>
        <w:rPr>
          <w:rFonts w:ascii="Calibri" w:eastAsia="Times New Roman" w:hAnsi="Calibri" w:cs="Calibri"/>
        </w:rPr>
        <w:t>17. Third-Party Manufacturing / Tolling Arrangements</w:t>
      </w:r>
    </w:p>
    <w:p w14:paraId="4BA19643" w14:textId="77777777" w:rsidR="005F139E" w:rsidRDefault="00FE120D">
      <w:pPr>
        <w:pStyle w:val="q-text"/>
        <w:spacing w:before="60" w:beforeAutospacing="0"/>
        <w:divId w:val="499200265"/>
        <w:rPr>
          <w:rFonts w:ascii="Calibri" w:hAnsi="Calibri" w:cs="Calibri"/>
          <w:color w:val="000000"/>
          <w:sz w:val="22"/>
          <w:szCs w:val="22"/>
        </w:rPr>
      </w:pPr>
      <w:r>
        <w:rPr>
          <w:rStyle w:val="q-num1"/>
          <w:rFonts w:ascii="Calibri" w:hAnsi="Calibri" w:cs="Calibri"/>
          <w:b/>
          <w:bCs/>
          <w:sz w:val="22"/>
          <w:szCs w:val="22"/>
        </w:rPr>
        <w:t>[37]</w:t>
      </w:r>
      <w:r>
        <w:rPr>
          <w:rFonts w:ascii="Calibri" w:hAnsi="Calibri" w:cs="Calibri"/>
          <w:color w:val="000000"/>
          <w:sz w:val="22"/>
          <w:szCs w:val="22"/>
        </w:rPr>
        <w:t xml:space="preserve"> Can gloves manufactured by a third-party domestic producer under a supply, tolling, or private-label agreement and subsequently packaged/labeled by the Performer count toward the 500-million-glove requirement? Or must the gloves be produced on equipment owned/operated by the Performer at the funded facility?</w:t>
      </w:r>
    </w:p>
    <w:p w14:paraId="6DC5884E" w14:textId="55EDD5D6" w:rsidR="005F139E" w:rsidRPr="00EC1063" w:rsidRDefault="00FE120D" w:rsidP="00EC1063">
      <w:pPr>
        <w:pStyle w:val="a-text"/>
        <w:spacing w:after="240" w:afterAutospacing="0"/>
        <w:divId w:val="499200265"/>
        <w:rPr>
          <w:rFonts w:ascii="Calibri" w:hAnsi="Calibri" w:cs="Calibri"/>
          <w:color w:val="000000"/>
          <w:sz w:val="22"/>
          <w:szCs w:val="22"/>
        </w:rPr>
      </w:pPr>
      <w:r>
        <w:rPr>
          <w:rFonts w:ascii="Calibri" w:hAnsi="Calibri" w:cs="Calibri"/>
          <w:color w:val="000000"/>
          <w:sz w:val="22"/>
          <w:szCs w:val="22"/>
        </w:rPr>
        <w:t>Private-label or tolling agreements where the performer merely packages or labels third-party gloves do not satisfy the capacity requirement. Performers are required to expand or establish new domestic manufacturing line capacity directly owned and operated at the funded facility.</w:t>
      </w:r>
    </w:p>
    <w:p w14:paraId="4E0B1338" w14:textId="77777777" w:rsidR="005F139E" w:rsidRDefault="00FE120D">
      <w:pPr>
        <w:pStyle w:val="Heading2"/>
        <w:rPr>
          <w:rFonts w:ascii="Calibri" w:eastAsia="Times New Roman" w:hAnsi="Calibri" w:cs="Calibri"/>
        </w:rPr>
      </w:pPr>
      <w:r>
        <w:rPr>
          <w:rFonts w:ascii="Calibri" w:eastAsia="Times New Roman" w:hAnsi="Calibri" w:cs="Calibri"/>
        </w:rPr>
        <w:t>18. IP, Data Rights &amp; Confidentiality</w:t>
      </w:r>
    </w:p>
    <w:p w14:paraId="19ED20FD" w14:textId="77777777" w:rsidR="005F139E" w:rsidRDefault="00FE120D">
      <w:pPr>
        <w:pStyle w:val="q-text"/>
        <w:spacing w:before="60" w:beforeAutospacing="0"/>
        <w:divId w:val="1073549345"/>
        <w:rPr>
          <w:rFonts w:ascii="Calibri" w:hAnsi="Calibri" w:cs="Calibri"/>
          <w:color w:val="000000"/>
          <w:sz w:val="22"/>
          <w:szCs w:val="22"/>
        </w:rPr>
      </w:pPr>
      <w:r>
        <w:rPr>
          <w:rStyle w:val="q-num1"/>
          <w:rFonts w:ascii="Calibri" w:hAnsi="Calibri" w:cs="Calibri"/>
          <w:b/>
          <w:bCs/>
          <w:sz w:val="22"/>
          <w:szCs w:val="22"/>
        </w:rPr>
        <w:t>[78]</w:t>
      </w:r>
      <w:r>
        <w:rPr>
          <w:rFonts w:ascii="Calibri" w:hAnsi="Calibri" w:cs="Calibri"/>
          <w:color w:val="000000"/>
          <w:sz w:val="22"/>
          <w:szCs w:val="22"/>
        </w:rPr>
        <w:t xml:space="preserve"> Does the Government's license (and any successor/escrow rights) apply only to IP, data, and software first produced in performance of the award, excluding background/pre-existing IP and process know-how?</w:t>
      </w:r>
    </w:p>
    <w:p w14:paraId="391754FD" w14:textId="1A45CD16" w:rsidR="005F139E" w:rsidRDefault="00FE120D">
      <w:pPr>
        <w:pStyle w:val="a-text"/>
        <w:spacing w:after="60" w:afterAutospacing="0"/>
        <w:divId w:val="1073549345"/>
        <w:rPr>
          <w:rFonts w:ascii="Calibri" w:hAnsi="Calibri" w:cs="Calibri"/>
          <w:color w:val="000000"/>
          <w:sz w:val="22"/>
          <w:szCs w:val="22"/>
        </w:rPr>
      </w:pPr>
      <w:r w:rsidRPr="004810F8">
        <w:rPr>
          <w:rFonts w:ascii="Calibri" w:hAnsi="Calibri" w:cs="Calibri"/>
          <w:color w:val="000000"/>
          <w:sz w:val="22"/>
          <w:szCs w:val="22"/>
        </w:rPr>
        <w:t>It i</w:t>
      </w:r>
      <w:r>
        <w:rPr>
          <w:rFonts w:ascii="Calibri" w:hAnsi="Calibri" w:cs="Calibri"/>
          <w:color w:val="000000"/>
          <w:sz w:val="22"/>
          <w:szCs w:val="22"/>
        </w:rPr>
        <w:t xml:space="preserve">s anticipated that anything delivered in performance of an awarded project would be delivered with Government Purpose Rights, unless otherwise specified in the proposal and agreed upon by the Government. The </w:t>
      </w:r>
      <w:r w:rsidR="00E366AD">
        <w:rPr>
          <w:rFonts w:ascii="Calibri" w:hAnsi="Calibri" w:cs="Calibri"/>
          <w:color w:val="000000"/>
          <w:sz w:val="22"/>
          <w:szCs w:val="22"/>
        </w:rPr>
        <w:t>Respondent</w:t>
      </w:r>
      <w:r>
        <w:rPr>
          <w:rFonts w:ascii="Calibri" w:hAnsi="Calibri" w:cs="Calibri"/>
          <w:color w:val="000000"/>
          <w:sz w:val="22"/>
          <w:szCs w:val="22"/>
        </w:rPr>
        <w:t xml:space="preserve"> </w:t>
      </w:r>
      <w:r w:rsidR="00EA1DF9">
        <w:rPr>
          <w:rFonts w:ascii="Calibri" w:hAnsi="Calibri" w:cs="Calibri"/>
          <w:color w:val="000000"/>
          <w:sz w:val="22"/>
          <w:szCs w:val="22"/>
        </w:rPr>
        <w:t>must</w:t>
      </w:r>
      <w:r>
        <w:rPr>
          <w:rFonts w:ascii="Calibri" w:hAnsi="Calibri" w:cs="Calibri"/>
          <w:color w:val="000000"/>
          <w:sz w:val="22"/>
          <w:szCs w:val="22"/>
        </w:rPr>
        <w:t xml:space="preserve"> complete the Data Rights Appendix table identifying any IP or Data Rights to be furnished with restrictions.</w:t>
      </w:r>
      <w:r>
        <w:rPr>
          <w:rFonts w:ascii="Calibri" w:hAnsi="Calibri" w:cs="Calibri"/>
          <w:color w:val="000000"/>
          <w:sz w:val="22"/>
          <w:szCs w:val="22"/>
        </w:rPr>
        <w:br/>
      </w:r>
    </w:p>
    <w:p w14:paraId="4F2447E6" w14:textId="77777777" w:rsidR="005F139E" w:rsidRPr="004A1274" w:rsidRDefault="00FE120D">
      <w:pPr>
        <w:pStyle w:val="q-text"/>
        <w:spacing w:before="60" w:beforeAutospacing="0"/>
        <w:divId w:val="1638146104"/>
        <w:rPr>
          <w:rFonts w:ascii="Calibri" w:hAnsi="Calibri" w:cs="Calibri"/>
          <w:color w:val="000000"/>
          <w:sz w:val="22"/>
          <w:szCs w:val="22"/>
        </w:rPr>
      </w:pPr>
      <w:r w:rsidRPr="004A1274">
        <w:rPr>
          <w:rStyle w:val="q-num1"/>
          <w:rFonts w:ascii="Calibri" w:hAnsi="Calibri" w:cs="Calibri"/>
          <w:b/>
          <w:bCs/>
          <w:sz w:val="22"/>
          <w:szCs w:val="22"/>
        </w:rPr>
        <w:t>[79]</w:t>
      </w:r>
      <w:r w:rsidRPr="004A1274">
        <w:rPr>
          <w:rFonts w:ascii="Calibri" w:hAnsi="Calibri" w:cs="Calibri"/>
          <w:color w:val="000000"/>
          <w:sz w:val="22"/>
          <w:szCs w:val="22"/>
        </w:rPr>
        <w:t xml:space="preserve"> What circumstances trigger escrow/successor rights, and </w:t>
      </w:r>
      <w:proofErr w:type="gramStart"/>
      <w:r w:rsidRPr="004A1274">
        <w:rPr>
          <w:rFonts w:ascii="Calibri" w:hAnsi="Calibri" w:cs="Calibri"/>
          <w:color w:val="000000"/>
          <w:sz w:val="22"/>
          <w:szCs w:val="22"/>
        </w:rPr>
        <w:t>does</w:t>
      </w:r>
      <w:proofErr w:type="gramEnd"/>
      <w:r w:rsidRPr="004A1274">
        <w:rPr>
          <w:rFonts w:ascii="Calibri" w:hAnsi="Calibri" w:cs="Calibri"/>
          <w:color w:val="000000"/>
          <w:sz w:val="22"/>
          <w:szCs w:val="22"/>
        </w:rPr>
        <w:t xml:space="preserve"> a written notice and cure period apply, consistent with Base Agreement Article 14.6?</w:t>
      </w:r>
    </w:p>
    <w:p w14:paraId="3DE7222A" w14:textId="5FA3320F" w:rsidR="005F139E" w:rsidRPr="0055455A" w:rsidRDefault="004A1274" w:rsidP="00664DA0">
      <w:pPr>
        <w:pStyle w:val="a-text"/>
        <w:spacing w:after="60"/>
        <w:divId w:val="1638146104"/>
        <w:rPr>
          <w:rFonts w:ascii="Calibri" w:hAnsi="Calibri" w:cs="Calibri"/>
          <w:strike/>
          <w:color w:val="000000"/>
          <w:sz w:val="22"/>
          <w:szCs w:val="22"/>
        </w:rPr>
      </w:pPr>
      <w:r w:rsidRPr="004A1274">
        <w:rPr>
          <w:rFonts w:ascii="Calibri" w:hAnsi="Calibri" w:cs="Calibri"/>
          <w:color w:val="000000"/>
          <w:sz w:val="22"/>
          <w:szCs w:val="22"/>
        </w:rPr>
        <w:t xml:space="preserve">Escrow or successor rights may be triggered by circumstances that jeopardize continued availability of the required manufacturing capacity, including material default, material nonperformance, termination, or the Performer’s inability or unwillingness to maintain the required capacity. Any stop-work, termination, or related action will be implemented </w:t>
      </w:r>
      <w:proofErr w:type="gramStart"/>
      <w:r w:rsidRPr="004A1274">
        <w:rPr>
          <w:rFonts w:ascii="Calibri" w:hAnsi="Calibri" w:cs="Calibri"/>
          <w:color w:val="000000"/>
          <w:sz w:val="22"/>
          <w:szCs w:val="22"/>
        </w:rPr>
        <w:t>consistent</w:t>
      </w:r>
      <w:proofErr w:type="gramEnd"/>
      <w:r w:rsidRPr="004A1274">
        <w:rPr>
          <w:rFonts w:ascii="Calibri" w:hAnsi="Calibri" w:cs="Calibri"/>
          <w:color w:val="000000"/>
          <w:sz w:val="22"/>
          <w:szCs w:val="22"/>
        </w:rPr>
        <w:t xml:space="preserve"> with the applicable provisions of Base Agreement Articles 14.3 through 14.6 and the Project Agreement. Article 14.6 itself does not establish a separate written notice or cure period. Any applicable notice or opportunity to cure will therefore be governed by the specific Base Agreement or Project Agreement provision giving rise to the action.</w:t>
      </w:r>
      <w:r w:rsidR="00FE120D">
        <w:rPr>
          <w:rFonts w:ascii="Calibri" w:hAnsi="Calibri" w:cs="Calibri"/>
          <w:color w:val="000000"/>
          <w:sz w:val="22"/>
          <w:szCs w:val="22"/>
        </w:rPr>
        <w:t xml:space="preserve"> </w:t>
      </w:r>
    </w:p>
    <w:p w14:paraId="67167667" w14:textId="77777777" w:rsidR="005F139E" w:rsidRDefault="00FE120D">
      <w:pPr>
        <w:pStyle w:val="q-text"/>
        <w:spacing w:before="60" w:beforeAutospacing="0"/>
        <w:divId w:val="220600426"/>
        <w:rPr>
          <w:rFonts w:ascii="Calibri" w:hAnsi="Calibri" w:cs="Calibri"/>
          <w:color w:val="000000"/>
          <w:sz w:val="22"/>
          <w:szCs w:val="22"/>
        </w:rPr>
      </w:pPr>
      <w:r>
        <w:rPr>
          <w:rStyle w:val="q-num1"/>
          <w:rFonts w:ascii="Calibri" w:hAnsi="Calibri" w:cs="Calibri"/>
          <w:b/>
          <w:bCs/>
          <w:sz w:val="22"/>
          <w:szCs w:val="22"/>
        </w:rPr>
        <w:t>[127]</w:t>
      </w:r>
      <w:r>
        <w:rPr>
          <w:rFonts w:ascii="Calibri" w:hAnsi="Calibri" w:cs="Calibri"/>
          <w:color w:val="000000"/>
          <w:sz w:val="22"/>
          <w:szCs w:val="22"/>
        </w:rPr>
        <w:t xml:space="preserve"> What level of detail is required to describe the technology/processes for maintaining scaled manufacturing? Is trade secret/confidential commercial information excluded from Article 9 rights, and what marking preserves that exclusion? May the requirement be satisfied by describing process capability/control limits without disclosing proprietary parameters? What is the scope, frequency, and notice for Government facility access, and does it extend to observing proprietary process operations?</w:t>
      </w:r>
    </w:p>
    <w:p w14:paraId="3B12D130" w14:textId="337360CB" w:rsidR="005F139E" w:rsidRPr="0055455A" w:rsidRDefault="00CF17A9" w:rsidP="00EC1063">
      <w:pPr>
        <w:pStyle w:val="a-text"/>
        <w:spacing w:after="240" w:afterAutospacing="0"/>
        <w:divId w:val="220600426"/>
        <w:rPr>
          <w:rFonts w:ascii="Calibri" w:hAnsi="Calibri" w:cs="Calibri"/>
          <w:strike/>
          <w:color w:val="000000"/>
          <w:sz w:val="22"/>
          <w:szCs w:val="22"/>
        </w:rPr>
      </w:pPr>
      <w:r>
        <w:rPr>
          <w:rFonts w:ascii="Calibri" w:hAnsi="Calibri" w:cs="Calibri"/>
          <w:color w:val="000000"/>
          <w:sz w:val="22"/>
          <w:szCs w:val="22"/>
        </w:rPr>
        <w:t>Respondents</w:t>
      </w:r>
      <w:r w:rsidR="00FE120D">
        <w:rPr>
          <w:rFonts w:ascii="Calibri" w:hAnsi="Calibri" w:cs="Calibri"/>
          <w:color w:val="000000"/>
          <w:sz w:val="22"/>
          <w:szCs w:val="22"/>
        </w:rPr>
        <w:t xml:space="preserve"> are not required to disclose exact proprietary formulations or trade-secret process parameters to pass screening; the Technical Proposal must describe process capability, line layouts, and control limits thoroughly enough to prove feasibility without revealing proprietary blueprints. To protect background IP, a restrictive legend must be </w:t>
      </w:r>
      <w:r w:rsidR="00FE120D">
        <w:rPr>
          <w:rFonts w:ascii="Calibri" w:hAnsi="Calibri" w:cs="Calibri"/>
          <w:color w:val="000000"/>
          <w:sz w:val="22"/>
          <w:szCs w:val="22"/>
        </w:rPr>
        <w:lastRenderedPageBreak/>
        <w:t xml:space="preserve">placed on the cover page and specific sheets (e.g., "Proprietary Information – Confidential Commercial Data / Trade Secret – Exempt from Disclosure under FOIA and </w:t>
      </w:r>
      <w:proofErr w:type="spellStart"/>
      <w:r w:rsidR="00FE120D">
        <w:rPr>
          <w:rFonts w:ascii="Calibri" w:hAnsi="Calibri" w:cs="Calibri"/>
          <w:color w:val="000000"/>
          <w:sz w:val="22"/>
          <w:szCs w:val="22"/>
        </w:rPr>
        <w:t>BioMaP</w:t>
      </w:r>
      <w:proofErr w:type="spellEnd"/>
      <w:r w:rsidR="00FE120D">
        <w:rPr>
          <w:rFonts w:ascii="Calibri" w:hAnsi="Calibri" w:cs="Calibri"/>
          <w:color w:val="000000"/>
          <w:sz w:val="22"/>
          <w:szCs w:val="22"/>
        </w:rPr>
        <w:t xml:space="preserve"> Base Agreement Article 9"). </w:t>
      </w:r>
    </w:p>
    <w:p w14:paraId="5BEFE791" w14:textId="77777777" w:rsidR="005F139E" w:rsidRDefault="00FE120D">
      <w:pPr>
        <w:pStyle w:val="Heading2"/>
        <w:rPr>
          <w:rFonts w:ascii="Calibri" w:eastAsia="Times New Roman" w:hAnsi="Calibri" w:cs="Calibri"/>
        </w:rPr>
      </w:pPr>
      <w:r>
        <w:rPr>
          <w:rFonts w:ascii="Calibri" w:eastAsia="Times New Roman" w:hAnsi="Calibri" w:cs="Calibri"/>
        </w:rPr>
        <w:t>19. Indirect Rates &amp; Cost Proposal Mechanics</w:t>
      </w:r>
    </w:p>
    <w:p w14:paraId="1D938A4F" w14:textId="23F3338E" w:rsidR="005F139E" w:rsidRDefault="00FE120D">
      <w:pPr>
        <w:pStyle w:val="q-text"/>
        <w:spacing w:before="60" w:beforeAutospacing="0"/>
        <w:divId w:val="996345655"/>
        <w:rPr>
          <w:rFonts w:ascii="Calibri" w:hAnsi="Calibri" w:cs="Calibri"/>
          <w:color w:val="000000"/>
          <w:sz w:val="22"/>
          <w:szCs w:val="22"/>
        </w:rPr>
      </w:pPr>
      <w:r>
        <w:rPr>
          <w:rStyle w:val="q-num1"/>
          <w:rFonts w:ascii="Calibri" w:hAnsi="Calibri" w:cs="Calibri"/>
          <w:b/>
          <w:bCs/>
          <w:sz w:val="22"/>
          <w:szCs w:val="22"/>
        </w:rPr>
        <w:t>[61]</w:t>
      </w:r>
      <w:r>
        <w:rPr>
          <w:rFonts w:ascii="Calibri" w:hAnsi="Calibri" w:cs="Calibri"/>
          <w:color w:val="000000"/>
          <w:sz w:val="22"/>
          <w:szCs w:val="22"/>
        </w:rPr>
        <w:t xml:space="preserve"> For </w:t>
      </w:r>
      <w:proofErr w:type="gramStart"/>
      <w:r>
        <w:rPr>
          <w:rFonts w:ascii="Calibri" w:hAnsi="Calibri" w:cs="Calibri"/>
          <w:color w:val="000000"/>
          <w:sz w:val="22"/>
          <w:szCs w:val="22"/>
        </w:rPr>
        <w:t>an</w:t>
      </w:r>
      <w:proofErr w:type="gramEnd"/>
      <w:r>
        <w:rPr>
          <w:rFonts w:ascii="Calibri" w:hAnsi="Calibri" w:cs="Calibri"/>
          <w:color w:val="000000"/>
          <w:sz w:val="22"/>
          <w:szCs w:val="22"/>
        </w:rPr>
        <w:t xml:space="preserve"> </w:t>
      </w:r>
      <w:r w:rsidR="00E366AD">
        <w:rPr>
          <w:rFonts w:ascii="Calibri" w:hAnsi="Calibri" w:cs="Calibri"/>
          <w:color w:val="000000"/>
          <w:sz w:val="22"/>
          <w:szCs w:val="22"/>
        </w:rPr>
        <w:t>Respondent</w:t>
      </w:r>
      <w:r>
        <w:rPr>
          <w:rFonts w:ascii="Calibri" w:hAnsi="Calibri" w:cs="Calibri"/>
          <w:color w:val="000000"/>
          <w:sz w:val="22"/>
          <w:szCs w:val="22"/>
        </w:rPr>
        <w:t xml:space="preserve"> without a cognizant federal audit agency or previously approved indirect rates, what is the acceptable basis of indirect rate support?</w:t>
      </w:r>
    </w:p>
    <w:p w14:paraId="32DFAFC5" w14:textId="27B0DD87" w:rsidR="005F139E" w:rsidRPr="00EC1063" w:rsidRDefault="00FE120D" w:rsidP="00EC1063">
      <w:pPr>
        <w:pStyle w:val="a-text"/>
        <w:spacing w:after="240" w:afterAutospacing="0"/>
        <w:divId w:val="996345655"/>
        <w:rPr>
          <w:rFonts w:ascii="Calibri" w:hAnsi="Calibri" w:cs="Calibri"/>
          <w:color w:val="000000"/>
          <w:sz w:val="22"/>
          <w:szCs w:val="22"/>
        </w:rPr>
      </w:pPr>
      <w:r w:rsidRPr="004810F8">
        <w:rPr>
          <w:rFonts w:ascii="Calibri" w:hAnsi="Calibri" w:cs="Calibri"/>
          <w:color w:val="000000"/>
          <w:sz w:val="22"/>
          <w:szCs w:val="22"/>
        </w:rPr>
        <w:t xml:space="preserve"> Please refer to S</w:t>
      </w:r>
      <w:r>
        <w:rPr>
          <w:rFonts w:ascii="Calibri" w:hAnsi="Calibri" w:cs="Calibri"/>
          <w:color w:val="000000"/>
          <w:sz w:val="22"/>
          <w:szCs w:val="22"/>
        </w:rPr>
        <w:t>ection G of the Cost Proposal Template for acceptable supporting documentation.</w:t>
      </w:r>
    </w:p>
    <w:p w14:paraId="4A66F660" w14:textId="77777777" w:rsidR="005F139E" w:rsidRDefault="00FE120D">
      <w:pPr>
        <w:pStyle w:val="Heading2"/>
        <w:rPr>
          <w:rFonts w:ascii="Calibri" w:eastAsia="Times New Roman" w:hAnsi="Calibri" w:cs="Calibri"/>
        </w:rPr>
      </w:pPr>
      <w:r>
        <w:rPr>
          <w:rFonts w:ascii="Calibri" w:eastAsia="Times New Roman" w:hAnsi="Calibri" w:cs="Calibri"/>
        </w:rPr>
        <w:t>20. Proposal Format, Page Limits &amp; Required Documents</w:t>
      </w:r>
    </w:p>
    <w:p w14:paraId="6B06AA99" w14:textId="77777777" w:rsidR="005F139E" w:rsidRDefault="00FE120D">
      <w:pPr>
        <w:pStyle w:val="q-text"/>
        <w:spacing w:before="60" w:beforeAutospacing="0"/>
        <w:divId w:val="1462116261"/>
        <w:rPr>
          <w:rFonts w:ascii="Calibri" w:hAnsi="Calibri" w:cs="Calibri"/>
          <w:color w:val="000000"/>
          <w:sz w:val="22"/>
          <w:szCs w:val="22"/>
        </w:rPr>
      </w:pPr>
      <w:proofErr w:type="gramStart"/>
      <w:r>
        <w:rPr>
          <w:rStyle w:val="q-num1"/>
          <w:rFonts w:ascii="Calibri" w:hAnsi="Calibri" w:cs="Calibri"/>
          <w:b/>
          <w:bCs/>
          <w:sz w:val="22"/>
          <w:szCs w:val="22"/>
        </w:rPr>
        <w:t>[52]</w:t>
      </w:r>
      <w:r>
        <w:rPr>
          <w:rFonts w:ascii="Calibri" w:hAnsi="Calibri" w:cs="Calibri"/>
          <w:color w:val="000000"/>
          <w:sz w:val="22"/>
          <w:szCs w:val="22"/>
        </w:rPr>
        <w:t xml:space="preserve"> Should</w:t>
      </w:r>
      <w:proofErr w:type="gramEnd"/>
      <w:r>
        <w:rPr>
          <w:rFonts w:ascii="Calibri" w:hAnsi="Calibri" w:cs="Calibri"/>
          <w:color w:val="000000"/>
          <w:sz w:val="22"/>
          <w:szCs w:val="22"/>
        </w:rPr>
        <w:t xml:space="preserve"> the initial Risk Management Plan be a standalone file or incorporated within the Technical Proposal?</w:t>
      </w:r>
    </w:p>
    <w:p w14:paraId="79CB94BB" w14:textId="61B14F03" w:rsidR="003653C3" w:rsidRDefault="00FE120D">
      <w:pPr>
        <w:pStyle w:val="a-text"/>
        <w:spacing w:after="60" w:afterAutospacing="0"/>
        <w:divId w:val="1462116261"/>
        <w:rPr>
          <w:rFonts w:ascii="Calibri" w:hAnsi="Calibri" w:cs="Calibri"/>
          <w:color w:val="000000"/>
          <w:sz w:val="22"/>
          <w:szCs w:val="22"/>
        </w:rPr>
      </w:pPr>
      <w:r w:rsidRPr="004810F8">
        <w:rPr>
          <w:rFonts w:ascii="Calibri" w:hAnsi="Calibri" w:cs="Calibri"/>
          <w:color w:val="000000"/>
          <w:sz w:val="22"/>
          <w:szCs w:val="22"/>
        </w:rPr>
        <w:t>The Risk Mitigation Plan i</w:t>
      </w:r>
      <w:r>
        <w:rPr>
          <w:rFonts w:ascii="Calibri" w:hAnsi="Calibri" w:cs="Calibri"/>
          <w:color w:val="000000"/>
          <w:sz w:val="22"/>
          <w:szCs w:val="22"/>
        </w:rPr>
        <w:t>s to be incorporated within the Technical Proposal.</w:t>
      </w:r>
    </w:p>
    <w:p w14:paraId="1215D288" w14:textId="77777777" w:rsidR="005F139E" w:rsidRDefault="00FE120D">
      <w:pPr>
        <w:pStyle w:val="q-text"/>
        <w:spacing w:before="60" w:beforeAutospacing="0"/>
        <w:divId w:val="521824759"/>
        <w:rPr>
          <w:rFonts w:ascii="Calibri" w:hAnsi="Calibri" w:cs="Calibri"/>
          <w:color w:val="000000"/>
          <w:sz w:val="22"/>
          <w:szCs w:val="22"/>
        </w:rPr>
      </w:pPr>
      <w:r>
        <w:rPr>
          <w:rStyle w:val="q-num1"/>
          <w:rFonts w:ascii="Calibri" w:hAnsi="Calibri" w:cs="Calibri"/>
          <w:b/>
          <w:bCs/>
          <w:sz w:val="22"/>
          <w:szCs w:val="22"/>
        </w:rPr>
        <w:t>[53]</w:t>
      </w:r>
      <w:r>
        <w:rPr>
          <w:rFonts w:ascii="Calibri" w:hAnsi="Calibri" w:cs="Calibri"/>
          <w:color w:val="000000"/>
          <w:sz w:val="22"/>
          <w:szCs w:val="22"/>
        </w:rPr>
        <w:t xml:space="preserve"> Does the initial Risk Management Plan count against the 30-page limit?</w:t>
      </w:r>
    </w:p>
    <w:p w14:paraId="6A3A63FA" w14:textId="0BF9365B" w:rsidR="005F139E" w:rsidRDefault="00FE120D">
      <w:pPr>
        <w:pStyle w:val="a-text"/>
        <w:spacing w:after="60" w:afterAutospacing="0"/>
        <w:divId w:val="521824759"/>
        <w:rPr>
          <w:rFonts w:ascii="Calibri" w:hAnsi="Calibri" w:cs="Calibri"/>
          <w:color w:val="000000"/>
          <w:sz w:val="22"/>
          <w:szCs w:val="22"/>
        </w:rPr>
      </w:pPr>
      <w:r w:rsidRPr="004810F8">
        <w:rPr>
          <w:rFonts w:ascii="Calibri" w:hAnsi="Calibri" w:cs="Calibri"/>
          <w:color w:val="000000"/>
          <w:sz w:val="22"/>
          <w:szCs w:val="22"/>
        </w:rPr>
        <w:t>Yes, the Risk Mitigat</w:t>
      </w:r>
      <w:r>
        <w:rPr>
          <w:rFonts w:ascii="Calibri" w:hAnsi="Calibri" w:cs="Calibri"/>
          <w:color w:val="000000"/>
          <w:sz w:val="22"/>
          <w:szCs w:val="22"/>
        </w:rPr>
        <w:t>ion Plan counts towards the 30-page limit.</w:t>
      </w:r>
    </w:p>
    <w:p w14:paraId="5D1A4CFA" w14:textId="77777777" w:rsidR="005F139E" w:rsidRDefault="00FE120D">
      <w:pPr>
        <w:pStyle w:val="q-text"/>
        <w:spacing w:before="60" w:beforeAutospacing="0"/>
        <w:divId w:val="1182624605"/>
        <w:rPr>
          <w:rFonts w:ascii="Calibri" w:hAnsi="Calibri" w:cs="Calibri"/>
          <w:color w:val="000000"/>
          <w:sz w:val="22"/>
          <w:szCs w:val="22"/>
        </w:rPr>
      </w:pPr>
      <w:proofErr w:type="gramStart"/>
      <w:r>
        <w:rPr>
          <w:rStyle w:val="q-num1"/>
          <w:rFonts w:ascii="Calibri" w:hAnsi="Calibri" w:cs="Calibri"/>
          <w:b/>
          <w:bCs/>
          <w:sz w:val="22"/>
          <w:szCs w:val="22"/>
        </w:rPr>
        <w:t>[54]</w:t>
      </w:r>
      <w:r>
        <w:rPr>
          <w:rFonts w:ascii="Calibri" w:hAnsi="Calibri" w:cs="Calibri"/>
          <w:color w:val="000000"/>
          <w:sz w:val="22"/>
          <w:szCs w:val="22"/>
        </w:rPr>
        <w:t xml:space="preserve"> Should</w:t>
      </w:r>
      <w:proofErr w:type="gramEnd"/>
      <w:r>
        <w:rPr>
          <w:rFonts w:ascii="Calibri" w:hAnsi="Calibri" w:cs="Calibri"/>
          <w:color w:val="000000"/>
          <w:sz w:val="22"/>
          <w:szCs w:val="22"/>
        </w:rPr>
        <w:t xml:space="preserve"> the Security Plan be submitted as a standalone file or incorporated within the Technical Proposal?</w:t>
      </w:r>
    </w:p>
    <w:p w14:paraId="550806E2" w14:textId="5A5CD8D3" w:rsidR="003653C3" w:rsidRDefault="00FE120D">
      <w:pPr>
        <w:pStyle w:val="a-text"/>
        <w:spacing w:after="60" w:afterAutospacing="0"/>
        <w:divId w:val="1182624605"/>
        <w:rPr>
          <w:rFonts w:ascii="Calibri" w:hAnsi="Calibri" w:cs="Calibri"/>
          <w:color w:val="000000"/>
          <w:sz w:val="22"/>
          <w:szCs w:val="22"/>
        </w:rPr>
      </w:pPr>
      <w:r w:rsidRPr="004810F8">
        <w:rPr>
          <w:rFonts w:ascii="Calibri" w:hAnsi="Calibri" w:cs="Calibri"/>
          <w:color w:val="000000"/>
          <w:sz w:val="22"/>
          <w:szCs w:val="22"/>
        </w:rPr>
        <w:t>The Security Plan</w:t>
      </w:r>
      <w:r>
        <w:rPr>
          <w:rFonts w:ascii="Calibri" w:hAnsi="Calibri" w:cs="Calibri"/>
          <w:color w:val="000000"/>
          <w:sz w:val="22"/>
          <w:szCs w:val="22"/>
        </w:rPr>
        <w:t xml:space="preserve"> is to be incorporated within the Technical Proposal.</w:t>
      </w:r>
    </w:p>
    <w:p w14:paraId="2FFCF3CE" w14:textId="77777777" w:rsidR="005F139E" w:rsidRDefault="00FE120D">
      <w:pPr>
        <w:pStyle w:val="q-text"/>
        <w:spacing w:before="60" w:beforeAutospacing="0"/>
        <w:divId w:val="1774204885"/>
        <w:rPr>
          <w:rFonts w:ascii="Calibri" w:hAnsi="Calibri" w:cs="Calibri"/>
          <w:color w:val="000000"/>
          <w:sz w:val="22"/>
          <w:szCs w:val="22"/>
        </w:rPr>
      </w:pPr>
      <w:r>
        <w:rPr>
          <w:rStyle w:val="q-num1"/>
          <w:rFonts w:ascii="Calibri" w:hAnsi="Calibri" w:cs="Calibri"/>
          <w:b/>
          <w:bCs/>
          <w:sz w:val="22"/>
          <w:szCs w:val="22"/>
        </w:rPr>
        <w:t>[55]</w:t>
      </w:r>
      <w:r>
        <w:rPr>
          <w:rFonts w:ascii="Calibri" w:hAnsi="Calibri" w:cs="Calibri"/>
          <w:color w:val="000000"/>
          <w:sz w:val="22"/>
          <w:szCs w:val="22"/>
        </w:rPr>
        <w:t xml:space="preserve"> Does the Security Plan count against the 30-page limit?</w:t>
      </w:r>
    </w:p>
    <w:p w14:paraId="1621E84D" w14:textId="042A79E6" w:rsidR="003653C3" w:rsidRDefault="00FE120D">
      <w:pPr>
        <w:pStyle w:val="a-text"/>
        <w:spacing w:after="60" w:afterAutospacing="0"/>
        <w:divId w:val="1774204885"/>
        <w:rPr>
          <w:rFonts w:ascii="Calibri" w:hAnsi="Calibri" w:cs="Calibri"/>
          <w:color w:val="000000"/>
          <w:sz w:val="22"/>
          <w:szCs w:val="22"/>
        </w:rPr>
      </w:pPr>
      <w:r w:rsidRPr="004810F8">
        <w:rPr>
          <w:rFonts w:ascii="Calibri" w:hAnsi="Calibri" w:cs="Calibri"/>
          <w:color w:val="000000"/>
          <w:sz w:val="22"/>
          <w:szCs w:val="22"/>
        </w:rPr>
        <w:t>Yes, the Security P</w:t>
      </w:r>
      <w:r>
        <w:rPr>
          <w:rFonts w:ascii="Calibri" w:hAnsi="Calibri" w:cs="Calibri"/>
          <w:color w:val="000000"/>
          <w:sz w:val="22"/>
          <w:szCs w:val="22"/>
        </w:rPr>
        <w:t>lan counts towards the 30-page limit.</w:t>
      </w:r>
    </w:p>
    <w:p w14:paraId="2DD989DF" w14:textId="77777777" w:rsidR="005F139E" w:rsidRDefault="00FE120D">
      <w:pPr>
        <w:pStyle w:val="q-text"/>
        <w:spacing w:before="60" w:beforeAutospacing="0"/>
        <w:divId w:val="238952829"/>
        <w:rPr>
          <w:rFonts w:ascii="Calibri" w:hAnsi="Calibri" w:cs="Calibri"/>
          <w:color w:val="000000"/>
          <w:sz w:val="22"/>
          <w:szCs w:val="22"/>
        </w:rPr>
      </w:pPr>
      <w:r>
        <w:rPr>
          <w:rStyle w:val="q-num1"/>
          <w:rFonts w:ascii="Calibri" w:hAnsi="Calibri" w:cs="Calibri"/>
          <w:b/>
          <w:bCs/>
          <w:sz w:val="22"/>
          <w:szCs w:val="22"/>
        </w:rPr>
        <w:t>[56]</w:t>
      </w:r>
      <w:r>
        <w:rPr>
          <w:rFonts w:ascii="Calibri" w:hAnsi="Calibri" w:cs="Calibri"/>
          <w:color w:val="000000"/>
          <w:sz w:val="22"/>
          <w:szCs w:val="22"/>
        </w:rPr>
        <w:t xml:space="preserve"> Do tables and the Gantt chart schedule within the Technical Approach count against the 30-page limit?</w:t>
      </w:r>
    </w:p>
    <w:p w14:paraId="0D8AF6D3" w14:textId="7C7A43E6" w:rsidR="003653C3" w:rsidRDefault="00FE120D">
      <w:pPr>
        <w:pStyle w:val="a-text"/>
        <w:spacing w:after="60" w:afterAutospacing="0"/>
        <w:divId w:val="238952829"/>
        <w:rPr>
          <w:rFonts w:ascii="Calibri" w:hAnsi="Calibri" w:cs="Calibri"/>
          <w:color w:val="000000"/>
          <w:sz w:val="22"/>
          <w:szCs w:val="22"/>
        </w:rPr>
      </w:pPr>
      <w:r w:rsidRPr="004810F8">
        <w:rPr>
          <w:rFonts w:ascii="Calibri" w:hAnsi="Calibri" w:cs="Calibri"/>
          <w:color w:val="000000"/>
          <w:sz w:val="22"/>
          <w:szCs w:val="22"/>
        </w:rPr>
        <w:t>Yes, al</w:t>
      </w:r>
      <w:r>
        <w:rPr>
          <w:rFonts w:ascii="Calibri" w:hAnsi="Calibri" w:cs="Calibri"/>
          <w:color w:val="000000"/>
          <w:sz w:val="22"/>
          <w:szCs w:val="22"/>
        </w:rPr>
        <w:t>l sections within the Technical Approach are required and count towards the 30-page limit.</w:t>
      </w:r>
    </w:p>
    <w:p w14:paraId="272BA2B8" w14:textId="77777777" w:rsidR="005F139E" w:rsidRDefault="00FE120D">
      <w:pPr>
        <w:pStyle w:val="q-text"/>
        <w:spacing w:before="60" w:beforeAutospacing="0"/>
        <w:divId w:val="1250576408"/>
        <w:rPr>
          <w:rFonts w:ascii="Calibri" w:hAnsi="Calibri" w:cs="Calibri"/>
          <w:color w:val="000000"/>
          <w:sz w:val="22"/>
          <w:szCs w:val="22"/>
        </w:rPr>
      </w:pPr>
      <w:r>
        <w:rPr>
          <w:rStyle w:val="q-num1"/>
          <w:rFonts w:ascii="Calibri" w:hAnsi="Calibri" w:cs="Calibri"/>
          <w:b/>
          <w:bCs/>
          <w:sz w:val="22"/>
          <w:szCs w:val="22"/>
        </w:rPr>
        <w:t>[57]</w:t>
      </w:r>
      <w:r>
        <w:rPr>
          <w:rFonts w:ascii="Calibri" w:hAnsi="Calibri" w:cs="Calibri"/>
          <w:color w:val="000000"/>
          <w:sz w:val="22"/>
          <w:szCs w:val="22"/>
        </w:rPr>
        <w:t xml:space="preserve"> Does the Deliverables and Milestone Payments table count against the 30-page limit?</w:t>
      </w:r>
    </w:p>
    <w:p w14:paraId="500E2ACF" w14:textId="7448F377" w:rsidR="003653C3" w:rsidRDefault="00FE120D">
      <w:pPr>
        <w:pStyle w:val="a-text"/>
        <w:spacing w:after="60" w:afterAutospacing="0"/>
        <w:divId w:val="1250576408"/>
        <w:rPr>
          <w:rFonts w:ascii="Calibri" w:hAnsi="Calibri" w:cs="Calibri"/>
          <w:color w:val="000000"/>
          <w:sz w:val="22"/>
          <w:szCs w:val="22"/>
        </w:rPr>
      </w:pPr>
      <w:r w:rsidRPr="004810F8">
        <w:rPr>
          <w:rFonts w:ascii="Calibri" w:hAnsi="Calibri" w:cs="Calibri"/>
          <w:color w:val="000000"/>
          <w:sz w:val="22"/>
          <w:szCs w:val="22"/>
        </w:rPr>
        <w:t>Yes,</w:t>
      </w:r>
      <w:r>
        <w:rPr>
          <w:rFonts w:ascii="Calibri" w:hAnsi="Calibri" w:cs="Calibri"/>
          <w:color w:val="000000"/>
          <w:sz w:val="22"/>
          <w:szCs w:val="22"/>
        </w:rPr>
        <w:t xml:space="preserve"> as the Deliverables and Milestone Payments section is part of the Technical Approach, the table is included in the 30-page limit.</w:t>
      </w:r>
    </w:p>
    <w:p w14:paraId="4A8D295B" w14:textId="77777777" w:rsidR="005F139E" w:rsidRDefault="00FE120D">
      <w:pPr>
        <w:pStyle w:val="q-text"/>
        <w:spacing w:before="60" w:beforeAutospacing="0"/>
        <w:divId w:val="1771579847"/>
        <w:rPr>
          <w:rFonts w:ascii="Calibri" w:hAnsi="Calibri" w:cs="Calibri"/>
          <w:color w:val="000000"/>
          <w:sz w:val="22"/>
          <w:szCs w:val="22"/>
        </w:rPr>
      </w:pPr>
      <w:r>
        <w:rPr>
          <w:rStyle w:val="q-num1"/>
          <w:rFonts w:ascii="Calibri" w:hAnsi="Calibri" w:cs="Calibri"/>
          <w:b/>
          <w:bCs/>
          <w:sz w:val="22"/>
          <w:szCs w:val="22"/>
        </w:rPr>
        <w:t>[93]</w:t>
      </w:r>
      <w:r>
        <w:rPr>
          <w:rFonts w:ascii="Calibri" w:hAnsi="Calibri" w:cs="Calibri"/>
          <w:color w:val="000000"/>
          <w:sz w:val="22"/>
          <w:szCs w:val="22"/>
        </w:rPr>
        <w:t xml:space="preserve"> Please confirm whether the written facility security plan is required with the proposal.</w:t>
      </w:r>
    </w:p>
    <w:p w14:paraId="24785FF4" w14:textId="0549F378" w:rsidR="003653C3" w:rsidRDefault="00FE120D">
      <w:pPr>
        <w:pStyle w:val="a-text"/>
        <w:spacing w:after="60" w:afterAutospacing="0"/>
        <w:divId w:val="1771579847"/>
        <w:rPr>
          <w:rFonts w:ascii="Calibri" w:hAnsi="Calibri" w:cs="Calibri"/>
          <w:color w:val="000000"/>
          <w:sz w:val="22"/>
          <w:szCs w:val="22"/>
        </w:rPr>
      </w:pPr>
      <w:r w:rsidRPr="004810F8">
        <w:rPr>
          <w:rFonts w:ascii="Calibri" w:hAnsi="Calibri" w:cs="Calibri"/>
          <w:color w:val="000000"/>
          <w:sz w:val="22"/>
          <w:szCs w:val="22"/>
        </w:rPr>
        <w:t>Yes,</w:t>
      </w:r>
      <w:r>
        <w:rPr>
          <w:rFonts w:ascii="Calibri" w:hAnsi="Calibri" w:cs="Calibri"/>
          <w:color w:val="000000"/>
          <w:sz w:val="22"/>
          <w:szCs w:val="22"/>
        </w:rPr>
        <w:t xml:space="preserve"> a draft version of the Security Plan is required to be included in the Technical Proposal and counts towards the page limit.</w:t>
      </w:r>
    </w:p>
    <w:p w14:paraId="3905C997" w14:textId="77777777" w:rsidR="005F139E" w:rsidRDefault="00FE120D">
      <w:pPr>
        <w:pStyle w:val="q-text"/>
        <w:spacing w:before="60" w:beforeAutospacing="0"/>
        <w:divId w:val="987590860"/>
        <w:rPr>
          <w:rFonts w:ascii="Calibri" w:hAnsi="Calibri" w:cs="Calibri"/>
          <w:color w:val="000000"/>
          <w:sz w:val="22"/>
          <w:szCs w:val="22"/>
        </w:rPr>
      </w:pPr>
      <w:r>
        <w:rPr>
          <w:rStyle w:val="q-num1"/>
          <w:rFonts w:ascii="Calibri" w:hAnsi="Calibri" w:cs="Calibri"/>
          <w:b/>
          <w:bCs/>
          <w:sz w:val="22"/>
          <w:szCs w:val="22"/>
        </w:rPr>
        <w:t>[125]</w:t>
      </w:r>
      <w:r>
        <w:rPr>
          <w:rFonts w:ascii="Calibri" w:hAnsi="Calibri" w:cs="Calibri"/>
          <w:color w:val="000000"/>
          <w:sz w:val="22"/>
          <w:szCs w:val="22"/>
        </w:rPr>
        <w:t xml:space="preserve"> If answers to these questions are not published by 1:00 PM ET on 24 August 2026, what extension to the 8 September 2026 deadline will the Government grant? Requests a minimum 30-day extension after answers are received.</w:t>
      </w:r>
    </w:p>
    <w:p w14:paraId="3BD4AFD2" w14:textId="10C47506" w:rsidR="005F139E" w:rsidRPr="00EC1063" w:rsidRDefault="001C3243" w:rsidP="00EC1063">
      <w:pPr>
        <w:pStyle w:val="a-text"/>
        <w:spacing w:after="240" w:afterAutospacing="0"/>
        <w:divId w:val="987590860"/>
        <w:rPr>
          <w:rFonts w:ascii="Calibri" w:hAnsi="Calibri" w:cs="Calibri"/>
          <w:color w:val="000000"/>
          <w:sz w:val="22"/>
          <w:szCs w:val="22"/>
        </w:rPr>
      </w:pPr>
      <w:r>
        <w:rPr>
          <w:rFonts w:ascii="Calibri" w:hAnsi="Calibri" w:cs="Calibri"/>
          <w:color w:val="000000"/>
          <w:sz w:val="22"/>
          <w:szCs w:val="22"/>
        </w:rPr>
        <w:t xml:space="preserve">The RPP was extended through </w:t>
      </w:r>
      <w:r w:rsidR="009C7C36">
        <w:rPr>
          <w:rFonts w:ascii="Calibri" w:hAnsi="Calibri" w:cs="Calibri"/>
          <w:color w:val="000000"/>
          <w:sz w:val="22"/>
          <w:szCs w:val="22"/>
        </w:rPr>
        <w:t xml:space="preserve">October </w:t>
      </w:r>
      <w:r w:rsidR="00445902">
        <w:rPr>
          <w:rFonts w:ascii="Calibri" w:hAnsi="Calibri" w:cs="Calibri"/>
          <w:color w:val="000000"/>
          <w:sz w:val="22"/>
          <w:szCs w:val="22"/>
        </w:rPr>
        <w:t>20</w:t>
      </w:r>
      <w:r w:rsidR="009C7C36">
        <w:rPr>
          <w:rFonts w:ascii="Calibri" w:hAnsi="Calibri" w:cs="Calibri"/>
          <w:color w:val="000000"/>
          <w:sz w:val="22"/>
          <w:szCs w:val="22"/>
        </w:rPr>
        <w:t>, 2026</w:t>
      </w:r>
      <w:r w:rsidR="0026259B">
        <w:rPr>
          <w:rFonts w:ascii="Calibri" w:hAnsi="Calibri" w:cs="Calibri"/>
          <w:color w:val="000000"/>
          <w:sz w:val="22"/>
          <w:szCs w:val="22"/>
        </w:rPr>
        <w:t xml:space="preserve">. </w:t>
      </w:r>
    </w:p>
    <w:p w14:paraId="6969E5E0" w14:textId="77777777" w:rsidR="005F139E" w:rsidRDefault="00FE120D">
      <w:pPr>
        <w:pStyle w:val="Heading2"/>
        <w:rPr>
          <w:rFonts w:ascii="Calibri" w:eastAsia="Times New Roman" w:hAnsi="Calibri" w:cs="Calibri"/>
        </w:rPr>
      </w:pPr>
      <w:r>
        <w:rPr>
          <w:rFonts w:ascii="Calibri" w:eastAsia="Times New Roman" w:hAnsi="Calibri" w:cs="Calibri"/>
        </w:rPr>
        <w:t>21. Submission Numbering / Document Cross-Reference Corrections</w:t>
      </w:r>
    </w:p>
    <w:p w14:paraId="1EA4B35F" w14:textId="77777777" w:rsidR="005F139E" w:rsidRDefault="00FE120D">
      <w:pPr>
        <w:pStyle w:val="q-text"/>
        <w:spacing w:before="60" w:beforeAutospacing="0"/>
        <w:divId w:val="1730420642"/>
        <w:rPr>
          <w:rFonts w:ascii="Calibri" w:hAnsi="Calibri" w:cs="Calibri"/>
          <w:color w:val="000000"/>
          <w:sz w:val="22"/>
          <w:szCs w:val="22"/>
        </w:rPr>
      </w:pPr>
      <w:r>
        <w:rPr>
          <w:rStyle w:val="q-num1"/>
          <w:rFonts w:ascii="Calibri" w:hAnsi="Calibri" w:cs="Calibri"/>
          <w:b/>
          <w:bCs/>
          <w:sz w:val="22"/>
          <w:szCs w:val="22"/>
        </w:rPr>
        <w:t>[72]</w:t>
      </w:r>
      <w:r>
        <w:rPr>
          <w:rFonts w:ascii="Calibri" w:hAnsi="Calibri" w:cs="Calibri"/>
          <w:color w:val="000000"/>
          <w:sz w:val="22"/>
          <w:szCs w:val="22"/>
        </w:rPr>
        <w:t xml:space="preserve"> The sub-paragraph sequence within Attachment A, Section 2.1.2 appears to restart partway through, so cross-references in Section 2.7 and Attachment D don't align. Please confirm correct numbering (particularly for cost sharing, Commercial Viability Plan, Regulatory Plan, and Project Plan provisions), or consider issuing </w:t>
      </w:r>
      <w:proofErr w:type="gramStart"/>
      <w:r>
        <w:rPr>
          <w:rFonts w:ascii="Calibri" w:hAnsi="Calibri" w:cs="Calibri"/>
          <w:color w:val="000000"/>
          <w:sz w:val="22"/>
          <w:szCs w:val="22"/>
        </w:rPr>
        <w:t>an amended</w:t>
      </w:r>
      <w:proofErr w:type="gramEnd"/>
      <w:r>
        <w:rPr>
          <w:rFonts w:ascii="Calibri" w:hAnsi="Calibri" w:cs="Calibri"/>
          <w:color w:val="000000"/>
          <w:sz w:val="22"/>
          <w:szCs w:val="22"/>
        </w:rPr>
        <w:t xml:space="preserve"> Attachment A.</w:t>
      </w:r>
    </w:p>
    <w:p w14:paraId="2F81F3B1" w14:textId="054AC920" w:rsidR="005F139E" w:rsidRDefault="00FE120D">
      <w:pPr>
        <w:pStyle w:val="a-text"/>
        <w:spacing w:after="60" w:afterAutospacing="0"/>
        <w:divId w:val="1730420642"/>
        <w:rPr>
          <w:rFonts w:ascii="Calibri" w:hAnsi="Calibri" w:cs="Calibri"/>
          <w:color w:val="000000"/>
          <w:sz w:val="22"/>
          <w:szCs w:val="22"/>
        </w:rPr>
      </w:pPr>
      <w:r>
        <w:rPr>
          <w:rFonts w:ascii="Calibri" w:hAnsi="Calibri" w:cs="Calibri"/>
          <w:color w:val="000000"/>
          <w:sz w:val="22"/>
          <w:szCs w:val="22"/>
        </w:rPr>
        <w:t>While formatting variations exist in the text layout, the core mandatory sections are clearly outlined as independent files in Section 3.5the Commercial Viability Plan (4-page max), the Regulatory Plan, and the Project Plan must all be submitted as separate, print-capable files alongside the main Technical and Cost proposals.</w:t>
      </w:r>
    </w:p>
    <w:p w14:paraId="276E9F46" w14:textId="77777777" w:rsidR="005F139E" w:rsidRDefault="00FE120D">
      <w:pPr>
        <w:pStyle w:val="q-text"/>
        <w:spacing w:before="60" w:beforeAutospacing="0"/>
        <w:divId w:val="270475616"/>
        <w:rPr>
          <w:rFonts w:ascii="Calibri" w:hAnsi="Calibri" w:cs="Calibri"/>
          <w:color w:val="000000"/>
          <w:sz w:val="22"/>
          <w:szCs w:val="22"/>
        </w:rPr>
      </w:pPr>
      <w:r>
        <w:rPr>
          <w:rStyle w:val="q-num1"/>
          <w:rFonts w:ascii="Calibri" w:hAnsi="Calibri" w:cs="Calibri"/>
          <w:b/>
          <w:bCs/>
          <w:sz w:val="22"/>
          <w:szCs w:val="22"/>
        </w:rPr>
        <w:t>[132]</w:t>
      </w:r>
      <w:r>
        <w:rPr>
          <w:rFonts w:ascii="Calibri" w:hAnsi="Calibri" w:cs="Calibri"/>
          <w:color w:val="000000"/>
          <w:sz w:val="22"/>
          <w:szCs w:val="22"/>
        </w:rPr>
        <w:t xml:space="preserve"> Please confirm the correct sub-paragraph of Attachment A to which the cost-sharing reference in Section 2.7 is intended to refer.</w:t>
      </w:r>
    </w:p>
    <w:p w14:paraId="7D4F812D" w14:textId="4D3E3AD8" w:rsidR="001477E7" w:rsidRPr="0051689B" w:rsidRDefault="00FE120D" w:rsidP="0051689B">
      <w:pPr>
        <w:pStyle w:val="NoSpacing"/>
        <w:ind w:left="270"/>
        <w:divId w:val="270475616"/>
        <w:rPr>
          <w:rFonts w:ascii="Calibri" w:hAnsi="Calibri" w:cs="Calibri"/>
          <w:color w:val="000000"/>
          <w:sz w:val="22"/>
          <w:szCs w:val="22"/>
        </w:rPr>
      </w:pPr>
      <w:r w:rsidRPr="0051689B">
        <w:rPr>
          <w:rFonts w:ascii="Calibri" w:hAnsi="Calibri" w:cs="Calibri"/>
          <w:color w:val="000000"/>
          <w:sz w:val="22"/>
          <w:szCs w:val="22"/>
        </w:rPr>
        <w:lastRenderedPageBreak/>
        <w:t>The reference in Section 2.7 should indicate 2.1.2.10 of Attachment A.</w:t>
      </w:r>
      <w:r w:rsidR="001477E7" w:rsidRPr="0051689B">
        <w:rPr>
          <w:rFonts w:ascii="Calibri" w:hAnsi="Calibri" w:cs="Calibri"/>
          <w:color w:val="000000"/>
          <w:sz w:val="22"/>
          <w:szCs w:val="22"/>
        </w:rPr>
        <w:t xml:space="preserve"> </w:t>
      </w:r>
    </w:p>
    <w:p w14:paraId="779FCA9D" w14:textId="5732ACFF" w:rsidR="005F139E" w:rsidRDefault="00FE120D">
      <w:pPr>
        <w:pStyle w:val="Heading2"/>
        <w:rPr>
          <w:rFonts w:ascii="Calibri" w:eastAsia="Times New Roman" w:hAnsi="Calibri" w:cs="Calibri"/>
        </w:rPr>
      </w:pPr>
      <w:r>
        <w:rPr>
          <w:rFonts w:ascii="Calibri" w:eastAsia="Times New Roman" w:hAnsi="Calibri" w:cs="Calibri"/>
        </w:rPr>
        <w:t>2</w:t>
      </w:r>
      <w:r w:rsidR="004C7665">
        <w:rPr>
          <w:rFonts w:ascii="Calibri" w:eastAsia="Times New Roman" w:hAnsi="Calibri" w:cs="Calibri"/>
        </w:rPr>
        <w:t>2</w:t>
      </w:r>
      <w:r>
        <w:rPr>
          <w:rFonts w:ascii="Calibri" w:eastAsia="Times New Roman" w:hAnsi="Calibri" w:cs="Calibri"/>
        </w:rPr>
        <w:t>. Glove Technical Specifications — Thickness</w:t>
      </w:r>
    </w:p>
    <w:p w14:paraId="482CF24E" w14:textId="77777777" w:rsidR="005F139E" w:rsidRDefault="00FE120D">
      <w:pPr>
        <w:pStyle w:val="q-text"/>
        <w:spacing w:before="60" w:beforeAutospacing="0"/>
        <w:divId w:val="1911233942"/>
        <w:rPr>
          <w:rFonts w:ascii="Calibri" w:hAnsi="Calibri" w:cs="Calibri"/>
          <w:color w:val="000000"/>
          <w:sz w:val="22"/>
          <w:szCs w:val="22"/>
        </w:rPr>
      </w:pPr>
      <w:r>
        <w:rPr>
          <w:rStyle w:val="q-num1"/>
          <w:rFonts w:ascii="Calibri" w:hAnsi="Calibri" w:cs="Calibri"/>
          <w:b/>
          <w:bCs/>
          <w:sz w:val="22"/>
          <w:szCs w:val="22"/>
        </w:rPr>
        <w:t>[108]</w:t>
      </w:r>
      <w:r>
        <w:rPr>
          <w:rFonts w:ascii="Calibri" w:hAnsi="Calibri" w:cs="Calibri"/>
          <w:color w:val="000000"/>
          <w:sz w:val="22"/>
          <w:szCs w:val="22"/>
        </w:rPr>
        <w:t xml:space="preserve"> Does "no less than 4 to 5 Mils" establish a minimum of 4, a minimum of 5, or a required range? Does it apply to the delivered article, manufacturing line capability, or both? At what location is thickness measured, and is the figure nominal or a measured minimum under ASTM D6319 sampling? Would nominal 3/3.5 mil gloves measuring ≥4 mils at the assessed location satisfy the requirement? Is thickness the only characteristic assessed at compliance screening, and what evidence of conformance is required?</w:t>
      </w:r>
    </w:p>
    <w:p w14:paraId="7F586B2E" w14:textId="1626E79C" w:rsidR="005F139E" w:rsidRDefault="00FE120D">
      <w:pPr>
        <w:pStyle w:val="a-text"/>
        <w:spacing w:after="60" w:afterAutospacing="0"/>
        <w:divId w:val="1911233942"/>
        <w:rPr>
          <w:rFonts w:ascii="Calibri" w:hAnsi="Calibri" w:cs="Calibri"/>
          <w:color w:val="000000"/>
          <w:sz w:val="22"/>
          <w:szCs w:val="22"/>
        </w:rPr>
      </w:pPr>
      <w:r>
        <w:rPr>
          <w:rFonts w:ascii="Calibri" w:hAnsi="Calibri" w:cs="Calibri"/>
          <w:color w:val="000000"/>
          <w:sz w:val="22"/>
          <w:szCs w:val="22"/>
        </w:rPr>
        <w:t>Conformance requires a strict minimum single-wall thickness of 4.0 Mils evaluated at the palm and finger under ASTM standards, applying to both the finished product and line capability.</w:t>
      </w:r>
    </w:p>
    <w:p w14:paraId="7E14C389" w14:textId="77777777" w:rsidR="005F139E" w:rsidRDefault="00FE120D">
      <w:pPr>
        <w:pStyle w:val="q-text"/>
        <w:spacing w:before="60" w:beforeAutospacing="0"/>
        <w:divId w:val="85274415"/>
        <w:rPr>
          <w:rFonts w:ascii="Calibri" w:hAnsi="Calibri" w:cs="Calibri"/>
          <w:color w:val="000000"/>
          <w:sz w:val="22"/>
          <w:szCs w:val="22"/>
        </w:rPr>
      </w:pPr>
      <w:r>
        <w:rPr>
          <w:rStyle w:val="q-num1"/>
          <w:rFonts w:ascii="Calibri" w:hAnsi="Calibri" w:cs="Calibri"/>
          <w:b/>
          <w:bCs/>
          <w:sz w:val="22"/>
          <w:szCs w:val="22"/>
        </w:rPr>
        <w:t>[113]</w:t>
      </w:r>
      <w:r>
        <w:rPr>
          <w:rFonts w:ascii="Calibri" w:hAnsi="Calibri" w:cs="Calibri"/>
          <w:color w:val="000000"/>
          <w:sz w:val="22"/>
          <w:szCs w:val="22"/>
        </w:rPr>
        <w:t xml:space="preserve"> Request for measurement method/presser-foot pressure; sampling plan, sample size, and acceptance criterion (average vs. minimum, by size); applicable tolerance; technical rationale for the 4-5 mil figure and supporting barrier-performance/clinical data; demand basis for the requirement; whether a performance-equivalent demonstration (barrier integrity, tensile, permeation) may substitute for nominal gauge; whether the figure applies uniformly across sizes XS-XL and to extended-cuff/high-risk/chemotherapy-rated variants.</w:t>
      </w:r>
    </w:p>
    <w:p w14:paraId="7D9E5A79" w14:textId="6AB09C3F" w:rsidR="005F139E" w:rsidRPr="0055455A" w:rsidRDefault="00FE120D" w:rsidP="00BB709F">
      <w:pPr>
        <w:pStyle w:val="a-text"/>
        <w:spacing w:after="60" w:afterAutospacing="0"/>
        <w:divId w:val="85274415"/>
        <w:rPr>
          <w:rFonts w:ascii="Calibri" w:hAnsi="Calibri" w:cs="Calibri"/>
          <w:strike/>
          <w:color w:val="000000"/>
          <w:sz w:val="22"/>
          <w:szCs w:val="22"/>
        </w:rPr>
      </w:pPr>
      <w:r>
        <w:rPr>
          <w:rFonts w:ascii="Calibri" w:hAnsi="Calibri" w:cs="Calibri"/>
          <w:color w:val="000000"/>
          <w:sz w:val="22"/>
          <w:szCs w:val="22"/>
        </w:rPr>
        <w:t xml:space="preserve">The Government will apply ASTM D3767 (Procedure A), with presser-foot pressure fixed to that standard's parameters — no customized pressure metrics will be introduced. </w:t>
      </w:r>
    </w:p>
    <w:p w14:paraId="3F01CFF7" w14:textId="77777777" w:rsidR="005F139E" w:rsidRDefault="00FE120D">
      <w:pPr>
        <w:pStyle w:val="q-text"/>
        <w:spacing w:before="60" w:beforeAutospacing="0"/>
        <w:divId w:val="1166169797"/>
        <w:rPr>
          <w:rFonts w:ascii="Calibri" w:hAnsi="Calibri" w:cs="Calibri"/>
          <w:color w:val="000000"/>
          <w:sz w:val="22"/>
          <w:szCs w:val="22"/>
        </w:rPr>
      </w:pPr>
      <w:r>
        <w:rPr>
          <w:rStyle w:val="q-num1"/>
          <w:rFonts w:ascii="Calibri" w:hAnsi="Calibri" w:cs="Calibri"/>
          <w:b/>
          <w:bCs/>
          <w:sz w:val="22"/>
          <w:szCs w:val="22"/>
        </w:rPr>
        <w:t>[148]</w:t>
      </w:r>
      <w:r>
        <w:rPr>
          <w:rFonts w:ascii="Calibri" w:hAnsi="Calibri" w:cs="Calibri"/>
          <w:color w:val="000000"/>
          <w:sz w:val="22"/>
          <w:szCs w:val="22"/>
        </w:rPr>
        <w:t xml:space="preserve"> Is "no less than 4 to 5 mil in thickness" a minimum or maximum requirement, given the typical medical-grade glove thickness range is 6 mil and below?</w:t>
      </w:r>
    </w:p>
    <w:p w14:paraId="20191C10" w14:textId="466D0F71" w:rsidR="005F139E" w:rsidRPr="00EC1063" w:rsidRDefault="00FE120D" w:rsidP="00EC1063">
      <w:pPr>
        <w:pStyle w:val="a-text"/>
        <w:spacing w:after="240" w:afterAutospacing="0"/>
        <w:divId w:val="1166169797"/>
        <w:rPr>
          <w:rFonts w:ascii="Calibri" w:hAnsi="Calibri" w:cs="Calibri"/>
          <w:color w:val="000000"/>
          <w:sz w:val="22"/>
          <w:szCs w:val="22"/>
        </w:rPr>
      </w:pPr>
      <w:r>
        <w:rPr>
          <w:rFonts w:ascii="Calibri" w:hAnsi="Calibri" w:cs="Calibri"/>
          <w:color w:val="000000"/>
          <w:sz w:val="22"/>
          <w:szCs w:val="22"/>
        </w:rPr>
        <w:t>"</w:t>
      </w:r>
      <w:r w:rsidR="00DE11C4">
        <w:rPr>
          <w:rFonts w:ascii="Calibri" w:hAnsi="Calibri" w:cs="Calibri"/>
          <w:color w:val="000000"/>
          <w:sz w:val="22"/>
          <w:szCs w:val="22"/>
        </w:rPr>
        <w:t>N</w:t>
      </w:r>
      <w:r>
        <w:rPr>
          <w:rFonts w:ascii="Calibri" w:hAnsi="Calibri" w:cs="Calibri"/>
          <w:color w:val="000000"/>
          <w:sz w:val="22"/>
          <w:szCs w:val="22"/>
        </w:rPr>
        <w:t>o less than 4 to 5 mil" means that 4.0 Mils is the absolute single-wall thickness floor evaluated at the palm and fingertip under ASTM D6319. Standard commercial 3.0 or 3.5 Mil configurations are disqualified.</w:t>
      </w:r>
    </w:p>
    <w:p w14:paraId="7E5646EF" w14:textId="46E4BE11" w:rsidR="005F139E" w:rsidRDefault="00FE120D">
      <w:pPr>
        <w:pStyle w:val="Heading2"/>
        <w:rPr>
          <w:rFonts w:ascii="Calibri" w:eastAsia="Times New Roman" w:hAnsi="Calibri" w:cs="Calibri"/>
        </w:rPr>
      </w:pPr>
      <w:r>
        <w:rPr>
          <w:rFonts w:ascii="Calibri" w:eastAsia="Times New Roman" w:hAnsi="Calibri" w:cs="Calibri"/>
        </w:rPr>
        <w:t>2</w:t>
      </w:r>
      <w:r w:rsidR="004C7665">
        <w:rPr>
          <w:rFonts w:ascii="Calibri" w:eastAsia="Times New Roman" w:hAnsi="Calibri" w:cs="Calibri"/>
        </w:rPr>
        <w:t>3</w:t>
      </w:r>
      <w:r>
        <w:rPr>
          <w:rFonts w:ascii="Calibri" w:eastAsia="Times New Roman" w:hAnsi="Calibri" w:cs="Calibri"/>
        </w:rPr>
        <w:t>. Glove Technical Specifications — Other Physical/Performance Characteristics</w:t>
      </w:r>
    </w:p>
    <w:p w14:paraId="4EEC36B5" w14:textId="5C267B2B" w:rsidR="005F139E" w:rsidRDefault="00FE120D">
      <w:pPr>
        <w:pStyle w:val="q-text"/>
        <w:spacing w:before="60" w:beforeAutospacing="0"/>
        <w:divId w:val="1472140435"/>
        <w:rPr>
          <w:rFonts w:ascii="Calibri" w:hAnsi="Calibri" w:cs="Calibri"/>
          <w:color w:val="000000"/>
          <w:sz w:val="22"/>
          <w:szCs w:val="22"/>
        </w:rPr>
      </w:pPr>
      <w:r>
        <w:rPr>
          <w:rStyle w:val="q-num1"/>
          <w:rFonts w:ascii="Calibri" w:hAnsi="Calibri" w:cs="Calibri"/>
          <w:b/>
          <w:bCs/>
          <w:sz w:val="22"/>
          <w:szCs w:val="22"/>
        </w:rPr>
        <w:t>[114]</w:t>
      </w:r>
      <w:r>
        <w:rPr>
          <w:rFonts w:ascii="Calibri" w:hAnsi="Calibri" w:cs="Calibri"/>
          <w:color w:val="000000"/>
          <w:sz w:val="22"/>
          <w:szCs w:val="22"/>
        </w:rPr>
        <w:t xml:space="preserve"> Comprehensive request for a complete article specification </w:t>
      </w:r>
      <w:r w:rsidR="002169EC">
        <w:rPr>
          <w:rFonts w:ascii="Calibri" w:hAnsi="Calibri" w:cs="Calibri"/>
          <w:color w:val="000000"/>
          <w:sz w:val="22"/>
          <w:szCs w:val="22"/>
        </w:rPr>
        <w:t>covering grip</w:t>
      </w:r>
      <w:r>
        <w:rPr>
          <w:rFonts w:ascii="Calibri" w:hAnsi="Calibri" w:cs="Calibri"/>
          <w:color w:val="000000"/>
          <w:sz w:val="22"/>
          <w:szCs w:val="22"/>
        </w:rPr>
        <w:t xml:space="preserve"> texture (smooth vs. textured, metric/method); cuff type and dimensions; overall length and palm width by size; category/configuration (exam vs. surgical, sterile vs. non-sterile, powder-free); color and detection features; barrier and physical properties (AQL for holes, tensile strength, elongation, puncture/tear resistance, shelf life); chemical/drug permeation (ASTM D6978, chemotherapy/fentanyl resistance); size mix distribution; packaging, marking, and UDI/GUDID/traceability requirements; governing ASTM/ISO standards and precedence, including treatment of the ISO 11193-1 revision; and acceptance criteria for defects not otherwise addressed.</w:t>
      </w:r>
    </w:p>
    <w:p w14:paraId="108B4A82" w14:textId="5FD78906" w:rsidR="005F139E" w:rsidRPr="0055455A" w:rsidRDefault="00FE120D" w:rsidP="00EC1063">
      <w:pPr>
        <w:pStyle w:val="a-text"/>
        <w:spacing w:after="240" w:afterAutospacing="0"/>
        <w:divId w:val="1472140435"/>
        <w:rPr>
          <w:rFonts w:ascii="Calibri" w:hAnsi="Calibri" w:cs="Calibri"/>
          <w:strike/>
          <w:color w:val="000000"/>
          <w:sz w:val="22"/>
          <w:szCs w:val="22"/>
        </w:rPr>
      </w:pPr>
      <w:r>
        <w:rPr>
          <w:rFonts w:ascii="Calibri" w:hAnsi="Calibri" w:cs="Calibri"/>
          <w:color w:val="000000"/>
          <w:sz w:val="22"/>
          <w:szCs w:val="22"/>
        </w:rPr>
        <w:t>The Government declines to introduce a proprietary or custom quantitative texturing metric</w:t>
      </w:r>
      <w:r w:rsidR="001477E7">
        <w:rPr>
          <w:rFonts w:ascii="Calibri" w:hAnsi="Calibri" w:cs="Calibri"/>
          <w:color w:val="000000"/>
          <w:sz w:val="22"/>
          <w:szCs w:val="22"/>
        </w:rPr>
        <w:t>.</w:t>
      </w:r>
      <w:r>
        <w:rPr>
          <w:rFonts w:ascii="Calibri" w:hAnsi="Calibri" w:cs="Calibri"/>
          <w:color w:val="000000"/>
          <w:sz w:val="22"/>
          <w:szCs w:val="22"/>
        </w:rPr>
        <w:t xml:space="preserve"> </w:t>
      </w:r>
    </w:p>
    <w:p w14:paraId="4AB6283B" w14:textId="05523F80" w:rsidR="005F139E" w:rsidRDefault="00FE120D">
      <w:pPr>
        <w:pStyle w:val="Heading2"/>
        <w:rPr>
          <w:rFonts w:ascii="Calibri" w:eastAsia="Times New Roman" w:hAnsi="Calibri" w:cs="Calibri"/>
        </w:rPr>
      </w:pPr>
      <w:r>
        <w:rPr>
          <w:rFonts w:ascii="Calibri" w:eastAsia="Times New Roman" w:hAnsi="Calibri" w:cs="Calibri"/>
        </w:rPr>
        <w:t>2</w:t>
      </w:r>
      <w:r w:rsidR="004C7665">
        <w:rPr>
          <w:rFonts w:ascii="Calibri" w:eastAsia="Times New Roman" w:hAnsi="Calibri" w:cs="Calibri"/>
        </w:rPr>
        <w:t>4</w:t>
      </w:r>
      <w:r>
        <w:rPr>
          <w:rFonts w:ascii="Calibri" w:eastAsia="Times New Roman" w:hAnsi="Calibri" w:cs="Calibri"/>
        </w:rPr>
        <w:t>. Evaluation Factors, Weighting &amp; Discriminators</w:t>
      </w:r>
    </w:p>
    <w:p w14:paraId="48BE8EC9" w14:textId="72D5E362" w:rsidR="005F139E" w:rsidRPr="00EC1063" w:rsidRDefault="00FE120D" w:rsidP="0051689B">
      <w:pPr>
        <w:pStyle w:val="q-text"/>
        <w:spacing w:before="60" w:beforeAutospacing="0"/>
        <w:divId w:val="1267150706"/>
        <w:rPr>
          <w:rFonts w:ascii="Calibri" w:hAnsi="Calibri" w:cs="Calibri"/>
          <w:color w:val="000000"/>
          <w:sz w:val="22"/>
          <w:szCs w:val="22"/>
        </w:rPr>
      </w:pPr>
      <w:r>
        <w:rPr>
          <w:rStyle w:val="q-num1"/>
          <w:rFonts w:ascii="Calibri" w:hAnsi="Calibri" w:cs="Calibri"/>
          <w:b/>
          <w:bCs/>
          <w:sz w:val="22"/>
          <w:szCs w:val="22"/>
        </w:rPr>
        <w:t>[112]</w:t>
      </w:r>
      <w:r>
        <w:rPr>
          <w:rFonts w:ascii="Calibri" w:hAnsi="Calibri" w:cs="Calibri"/>
          <w:color w:val="000000"/>
          <w:sz w:val="22"/>
          <w:szCs w:val="22"/>
        </w:rPr>
        <w:t xml:space="preserve"> Please confirm the relative order of importance of Factors 1, 2, and 3, or that they are equal. How is Factor 3's narrative cost rating integrated with the adjectival ratings of Factors 1 and 2 in the best-value determination? Within Factor 1, are the four elements (relevancy, thoroughness, completeness, feasibility) </w:t>
      </w:r>
      <w:proofErr w:type="gramStart"/>
      <w:r>
        <w:rPr>
          <w:rFonts w:ascii="Calibri" w:hAnsi="Calibri" w:cs="Calibri"/>
          <w:color w:val="000000"/>
          <w:sz w:val="22"/>
          <w:szCs w:val="22"/>
        </w:rPr>
        <w:t>weighted</w:t>
      </w:r>
      <w:proofErr w:type="gramEnd"/>
      <w:r>
        <w:rPr>
          <w:rFonts w:ascii="Calibri" w:hAnsi="Calibri" w:cs="Calibri"/>
          <w:color w:val="000000"/>
          <w:sz w:val="22"/>
          <w:szCs w:val="22"/>
        </w:rPr>
        <w:t xml:space="preserve"> equally, and what discriminators (new capacity, capital efficiency, schedule, sustainment durability) will the Government assess?</w:t>
      </w:r>
      <w:r w:rsidR="00BF6A59">
        <w:rPr>
          <w:rFonts w:ascii="Calibri" w:hAnsi="Calibri" w:cs="Calibri"/>
          <w:color w:val="000000"/>
          <w:sz w:val="22"/>
          <w:szCs w:val="22"/>
        </w:rPr>
        <w:t xml:space="preserve">  </w:t>
      </w:r>
    </w:p>
    <w:p w14:paraId="11CA6976" w14:textId="2BCFEC1E" w:rsidR="00BF6A59" w:rsidRPr="00EC1063" w:rsidRDefault="00BF6A59" w:rsidP="00EC1063">
      <w:pPr>
        <w:pStyle w:val="a-text"/>
        <w:spacing w:after="240" w:afterAutospacing="0"/>
        <w:divId w:val="1267150706"/>
        <w:rPr>
          <w:rFonts w:ascii="Calibri" w:hAnsi="Calibri" w:cs="Calibri"/>
          <w:color w:val="000000"/>
          <w:sz w:val="22"/>
          <w:szCs w:val="22"/>
        </w:rPr>
      </w:pPr>
      <w:r w:rsidRPr="0051689B">
        <w:rPr>
          <w:rFonts w:ascii="Calibri" w:hAnsi="Calibri" w:cs="Calibri"/>
          <w:color w:val="000000"/>
          <w:sz w:val="22"/>
          <w:szCs w:val="22"/>
        </w:rPr>
        <w:t xml:space="preserve">In accordance with </w:t>
      </w:r>
      <w:r w:rsidR="005A6353" w:rsidRPr="0051689B">
        <w:rPr>
          <w:rFonts w:ascii="Calibri" w:hAnsi="Calibri" w:cs="Calibri"/>
          <w:color w:val="000000"/>
          <w:sz w:val="22"/>
          <w:szCs w:val="22"/>
        </w:rPr>
        <w:t xml:space="preserve">RPP Section </w:t>
      </w:r>
      <w:r w:rsidR="00237AA3" w:rsidRPr="0051689B">
        <w:rPr>
          <w:rFonts w:ascii="Calibri" w:hAnsi="Calibri" w:cs="Calibri"/>
          <w:color w:val="000000"/>
          <w:sz w:val="22"/>
          <w:szCs w:val="22"/>
        </w:rPr>
        <w:t xml:space="preserve">4.3, </w:t>
      </w:r>
      <w:r w:rsidRPr="0051689B">
        <w:rPr>
          <w:rFonts w:ascii="Calibri" w:hAnsi="Calibri" w:cs="Calibri"/>
          <w:color w:val="000000"/>
          <w:sz w:val="22"/>
          <w:szCs w:val="22"/>
        </w:rPr>
        <w:t xml:space="preserve">Evaluation factors will be weighted as </w:t>
      </w:r>
      <w:r w:rsidRPr="0076138C">
        <w:rPr>
          <w:rFonts w:ascii="Calibri" w:hAnsi="Calibri" w:cs="Calibri"/>
          <w:color w:val="000000"/>
          <w:sz w:val="22"/>
          <w:szCs w:val="22"/>
        </w:rPr>
        <w:t>follows</w:t>
      </w:r>
      <w:r w:rsidR="0076138C">
        <w:rPr>
          <w:rFonts w:ascii="Calibri" w:hAnsi="Calibri" w:cs="Calibri"/>
          <w:color w:val="000000"/>
          <w:sz w:val="22"/>
          <w:szCs w:val="22"/>
        </w:rPr>
        <w:t>:</w:t>
      </w:r>
      <w:r w:rsidR="00F27391" w:rsidRPr="0076138C">
        <w:rPr>
          <w:rFonts w:ascii="Calibri" w:hAnsi="Calibri" w:cs="Calibri"/>
          <w:color w:val="000000"/>
          <w:sz w:val="22"/>
          <w:szCs w:val="22"/>
        </w:rPr>
        <w:t xml:space="preserve"> </w:t>
      </w:r>
      <w:r w:rsidRPr="0076138C">
        <w:rPr>
          <w:rFonts w:ascii="Calibri" w:hAnsi="Calibri" w:cs="Calibri"/>
          <w:color w:val="000000"/>
          <w:sz w:val="22"/>
          <w:szCs w:val="22"/>
        </w:rPr>
        <w:t>Factor</w:t>
      </w:r>
      <w:r w:rsidRPr="0051689B">
        <w:rPr>
          <w:rFonts w:ascii="Calibri" w:hAnsi="Calibri" w:cs="Calibri"/>
          <w:color w:val="000000"/>
          <w:sz w:val="22"/>
          <w:szCs w:val="22"/>
        </w:rPr>
        <w:t xml:space="preserve"> 1 Technical Approach/Solution is</w:t>
      </w:r>
      <w:r w:rsidR="000B7F8B" w:rsidRPr="0051689B">
        <w:rPr>
          <w:rFonts w:ascii="Calibri" w:hAnsi="Calibri" w:cs="Calibri"/>
          <w:color w:val="000000"/>
          <w:sz w:val="22"/>
          <w:szCs w:val="22"/>
        </w:rPr>
        <w:t xml:space="preserve"> </w:t>
      </w:r>
      <w:r w:rsidRPr="0051689B">
        <w:rPr>
          <w:rFonts w:ascii="Calibri" w:hAnsi="Calibri" w:cs="Calibri"/>
          <w:color w:val="000000"/>
          <w:sz w:val="22"/>
          <w:szCs w:val="22"/>
        </w:rPr>
        <w:t>significantly more important than Factor 2 Relevant Experience, and Factor 2 Relevant Experience is more important than Factor 3 Cost/Price.</w:t>
      </w:r>
      <w:r w:rsidR="00CF17A9" w:rsidRPr="0051689B">
        <w:rPr>
          <w:rFonts w:ascii="Calibri" w:hAnsi="Calibri" w:cs="Calibri"/>
          <w:color w:val="000000"/>
          <w:sz w:val="22"/>
          <w:szCs w:val="22"/>
        </w:rPr>
        <w:t xml:space="preserve"> </w:t>
      </w:r>
      <w:r w:rsidR="000B7F8B" w:rsidRPr="0051689B">
        <w:rPr>
          <w:rFonts w:ascii="Calibri" w:hAnsi="Calibri" w:cs="Calibri"/>
          <w:color w:val="000000"/>
          <w:sz w:val="22"/>
          <w:szCs w:val="22"/>
        </w:rPr>
        <w:t xml:space="preserve"> See RPP Section 4.5 for </w:t>
      </w:r>
      <w:r w:rsidR="00503B2B" w:rsidRPr="0051689B">
        <w:rPr>
          <w:rFonts w:ascii="Calibri" w:hAnsi="Calibri" w:cs="Calibri"/>
          <w:color w:val="000000"/>
          <w:sz w:val="22"/>
          <w:szCs w:val="22"/>
        </w:rPr>
        <w:t xml:space="preserve">evaluation of the Evaluation </w:t>
      </w:r>
      <w:r w:rsidR="005D0398" w:rsidRPr="0051689B">
        <w:rPr>
          <w:rFonts w:ascii="Calibri" w:hAnsi="Calibri" w:cs="Calibri"/>
          <w:color w:val="000000"/>
          <w:sz w:val="22"/>
          <w:szCs w:val="22"/>
        </w:rPr>
        <w:t>Factor</w:t>
      </w:r>
      <w:r w:rsidR="00BA15AE" w:rsidRPr="0051689B">
        <w:rPr>
          <w:rFonts w:ascii="Calibri" w:hAnsi="Calibri" w:cs="Calibri"/>
          <w:color w:val="000000"/>
          <w:sz w:val="22"/>
          <w:szCs w:val="22"/>
        </w:rPr>
        <w:t xml:space="preserve"> 1</w:t>
      </w:r>
      <w:r w:rsidR="005D0398" w:rsidRPr="0051689B">
        <w:rPr>
          <w:rFonts w:ascii="Calibri" w:hAnsi="Calibri" w:cs="Calibri"/>
          <w:color w:val="000000"/>
          <w:sz w:val="22"/>
          <w:szCs w:val="22"/>
        </w:rPr>
        <w:t>.</w:t>
      </w:r>
      <w:r w:rsidR="00CF17A9" w:rsidRPr="0051689B">
        <w:rPr>
          <w:rFonts w:ascii="Calibri" w:hAnsi="Calibri" w:cs="Calibri"/>
          <w:color w:val="000000"/>
          <w:sz w:val="22"/>
          <w:szCs w:val="22"/>
        </w:rPr>
        <w:t xml:space="preserve"> </w:t>
      </w:r>
      <w:r w:rsidR="005D0398" w:rsidRPr="0051689B">
        <w:rPr>
          <w:rFonts w:ascii="Calibri" w:hAnsi="Calibri" w:cs="Calibri"/>
          <w:color w:val="000000"/>
          <w:sz w:val="22"/>
          <w:szCs w:val="22"/>
        </w:rPr>
        <w:t xml:space="preserve"> </w:t>
      </w:r>
    </w:p>
    <w:p w14:paraId="51788784" w14:textId="1640F3A5" w:rsidR="005F139E" w:rsidRDefault="00FE120D">
      <w:pPr>
        <w:pStyle w:val="Heading2"/>
        <w:rPr>
          <w:rFonts w:ascii="Calibri" w:eastAsia="Times New Roman" w:hAnsi="Calibri" w:cs="Calibri"/>
        </w:rPr>
      </w:pPr>
      <w:r>
        <w:rPr>
          <w:rFonts w:ascii="Calibri" w:eastAsia="Times New Roman" w:hAnsi="Calibri" w:cs="Calibri"/>
        </w:rPr>
        <w:t>2</w:t>
      </w:r>
      <w:r w:rsidR="004C7665">
        <w:rPr>
          <w:rFonts w:ascii="Calibri" w:eastAsia="Times New Roman" w:hAnsi="Calibri" w:cs="Calibri"/>
        </w:rPr>
        <w:t>5</w:t>
      </w:r>
      <w:r>
        <w:rPr>
          <w:rFonts w:ascii="Calibri" w:eastAsia="Times New Roman" w:hAnsi="Calibri" w:cs="Calibri"/>
        </w:rPr>
        <w:t xml:space="preserve">. </w:t>
      </w:r>
      <w:proofErr w:type="spellStart"/>
      <w:r>
        <w:rPr>
          <w:rFonts w:ascii="Calibri" w:eastAsia="Times New Roman" w:hAnsi="Calibri" w:cs="Calibri"/>
        </w:rPr>
        <w:t>BioMaP</w:t>
      </w:r>
      <w:proofErr w:type="spellEnd"/>
      <w:r>
        <w:rPr>
          <w:rFonts w:ascii="Calibri" w:eastAsia="Times New Roman" w:hAnsi="Calibri" w:cs="Calibri"/>
        </w:rPr>
        <w:t>-Consortium Membership &amp; Base Agreement</w:t>
      </w:r>
    </w:p>
    <w:p w14:paraId="17F3AC45" w14:textId="77777777" w:rsidR="005F139E" w:rsidRDefault="00FE120D">
      <w:pPr>
        <w:pStyle w:val="q-text"/>
        <w:spacing w:before="60" w:beforeAutospacing="0"/>
        <w:divId w:val="1108041964"/>
        <w:rPr>
          <w:rFonts w:ascii="Calibri" w:hAnsi="Calibri" w:cs="Calibri"/>
          <w:color w:val="000000"/>
          <w:sz w:val="22"/>
          <w:szCs w:val="22"/>
        </w:rPr>
      </w:pPr>
      <w:r>
        <w:rPr>
          <w:rStyle w:val="q-num1"/>
          <w:rFonts w:ascii="Calibri" w:hAnsi="Calibri" w:cs="Calibri"/>
          <w:b/>
          <w:bCs/>
          <w:sz w:val="22"/>
          <w:szCs w:val="22"/>
        </w:rPr>
        <w:t>[104]</w:t>
      </w:r>
      <w:r>
        <w:rPr>
          <w:rFonts w:ascii="Calibri" w:hAnsi="Calibri" w:cs="Calibri"/>
          <w:color w:val="000000"/>
          <w:sz w:val="22"/>
          <w:szCs w:val="22"/>
        </w:rPr>
        <w:t xml:space="preserve"> Does Base Agreement Article 19.2 (Parties Bound) apply to the underlying OTA between the Government and the CMF, or to the Base Agreement executed by the Consortium Member? Please confirm the Member's standing as a party to the Base Agreement it signs.</w:t>
      </w:r>
    </w:p>
    <w:p w14:paraId="7A249A52" w14:textId="06A9C6FE" w:rsidR="005F139E" w:rsidRDefault="00FE120D">
      <w:pPr>
        <w:pStyle w:val="a-text"/>
        <w:spacing w:after="60" w:afterAutospacing="0"/>
        <w:divId w:val="1108041964"/>
        <w:rPr>
          <w:rFonts w:ascii="Calibri" w:hAnsi="Calibri" w:cs="Calibri"/>
          <w:color w:val="000000"/>
          <w:sz w:val="22"/>
          <w:szCs w:val="22"/>
        </w:rPr>
      </w:pPr>
      <w:r>
        <w:rPr>
          <w:rFonts w:ascii="Calibri" w:hAnsi="Calibri" w:cs="Calibri"/>
          <w:color w:val="000000"/>
          <w:sz w:val="22"/>
          <w:szCs w:val="22"/>
        </w:rPr>
        <w:lastRenderedPageBreak/>
        <w:t>This provision is intended to be in the Consortium Member Base Agreement between ATI as the CMF and the Project Awardee.</w:t>
      </w:r>
    </w:p>
    <w:p w14:paraId="69413206" w14:textId="77777777" w:rsidR="005F139E" w:rsidRDefault="00FE120D">
      <w:pPr>
        <w:pStyle w:val="q-text"/>
        <w:spacing w:before="60" w:beforeAutospacing="0"/>
        <w:divId w:val="1599606510"/>
        <w:rPr>
          <w:rFonts w:ascii="Calibri" w:hAnsi="Calibri" w:cs="Calibri"/>
          <w:color w:val="000000"/>
          <w:sz w:val="22"/>
          <w:szCs w:val="22"/>
        </w:rPr>
      </w:pPr>
      <w:r>
        <w:rPr>
          <w:rStyle w:val="q-num1"/>
          <w:rFonts w:ascii="Calibri" w:hAnsi="Calibri" w:cs="Calibri"/>
          <w:b/>
          <w:bCs/>
          <w:sz w:val="22"/>
          <w:szCs w:val="22"/>
        </w:rPr>
        <w:t>[105]</w:t>
      </w:r>
      <w:r>
        <w:rPr>
          <w:rFonts w:ascii="Calibri" w:hAnsi="Calibri" w:cs="Calibri"/>
          <w:color w:val="000000"/>
          <w:sz w:val="22"/>
          <w:szCs w:val="22"/>
        </w:rPr>
        <w:t xml:space="preserve"> Please confirm that </w:t>
      </w:r>
      <w:proofErr w:type="spellStart"/>
      <w:r>
        <w:rPr>
          <w:rFonts w:ascii="Calibri" w:hAnsi="Calibri" w:cs="Calibri"/>
          <w:color w:val="000000"/>
          <w:sz w:val="22"/>
          <w:szCs w:val="22"/>
        </w:rPr>
        <w:t>BioMaP</w:t>
      </w:r>
      <w:proofErr w:type="spellEnd"/>
      <w:r>
        <w:rPr>
          <w:rFonts w:ascii="Calibri" w:hAnsi="Calibri" w:cs="Calibri"/>
          <w:color w:val="000000"/>
          <w:sz w:val="22"/>
          <w:szCs w:val="22"/>
        </w:rPr>
        <w:t>-Consortium membership is required prior to award, not as a condition of proposal submission, and that an applicant with pending membership may submit.</w:t>
      </w:r>
    </w:p>
    <w:p w14:paraId="4A5B752B" w14:textId="1629FEE6" w:rsidR="004A1274" w:rsidRDefault="004A1274" w:rsidP="004A1274">
      <w:pPr>
        <w:pStyle w:val="q-text"/>
        <w:spacing w:before="0" w:beforeAutospacing="0" w:after="0"/>
        <w:ind w:left="270"/>
        <w:divId w:val="1211187440"/>
        <w:rPr>
          <w:rFonts w:ascii="Calibri" w:hAnsi="Calibri" w:cs="Calibri"/>
          <w:b w:val="0"/>
          <w:bCs w:val="0"/>
          <w:color w:val="000000"/>
          <w:sz w:val="22"/>
          <w:szCs w:val="22"/>
        </w:rPr>
      </w:pPr>
      <w:proofErr w:type="spellStart"/>
      <w:r w:rsidRPr="004A1274">
        <w:rPr>
          <w:rFonts w:ascii="Calibri" w:hAnsi="Calibri" w:cs="Calibri"/>
          <w:b w:val="0"/>
          <w:bCs w:val="0"/>
          <w:color w:val="000000"/>
          <w:sz w:val="22"/>
          <w:szCs w:val="22"/>
        </w:rPr>
        <w:t>BioMaP</w:t>
      </w:r>
      <w:proofErr w:type="spellEnd"/>
      <w:r w:rsidRPr="004A1274">
        <w:rPr>
          <w:rFonts w:ascii="Calibri" w:hAnsi="Calibri" w:cs="Calibri"/>
          <w:b w:val="0"/>
          <w:bCs w:val="0"/>
          <w:color w:val="000000"/>
          <w:sz w:val="22"/>
          <w:szCs w:val="22"/>
        </w:rPr>
        <w:t xml:space="preserve">-Consortium membership is not required at the time of proposal submission but must be completed before Project Agreement award. Applicants with a pending membership application may submit a proposal, provided membership is finalized before award. </w:t>
      </w:r>
    </w:p>
    <w:p w14:paraId="3588112A" w14:textId="77777777" w:rsidR="004A1274" w:rsidRPr="004A1274" w:rsidRDefault="004A1274" w:rsidP="004A1274">
      <w:pPr>
        <w:pStyle w:val="q-text"/>
        <w:spacing w:before="0" w:beforeAutospacing="0" w:after="0"/>
        <w:ind w:left="270"/>
        <w:divId w:val="1211187440"/>
        <w:rPr>
          <w:rFonts w:ascii="Calibri" w:hAnsi="Calibri" w:cs="Calibri"/>
          <w:color w:val="000000"/>
          <w:sz w:val="22"/>
          <w:szCs w:val="22"/>
        </w:rPr>
      </w:pPr>
    </w:p>
    <w:p w14:paraId="1149E997" w14:textId="77777777" w:rsidR="005F139E" w:rsidRDefault="00FE120D" w:rsidP="004A1274">
      <w:pPr>
        <w:pStyle w:val="q-text"/>
        <w:spacing w:before="0" w:beforeAutospacing="0" w:after="0"/>
        <w:divId w:val="1211187440"/>
        <w:rPr>
          <w:rFonts w:ascii="Calibri" w:hAnsi="Calibri" w:cs="Calibri"/>
          <w:color w:val="000000"/>
          <w:sz w:val="22"/>
          <w:szCs w:val="22"/>
        </w:rPr>
      </w:pPr>
      <w:r>
        <w:rPr>
          <w:rStyle w:val="q-num1"/>
          <w:rFonts w:ascii="Calibri" w:hAnsi="Calibri" w:cs="Calibri"/>
          <w:b/>
          <w:bCs/>
          <w:sz w:val="22"/>
          <w:szCs w:val="22"/>
        </w:rPr>
        <w:t>[129]</w:t>
      </w:r>
      <w:r>
        <w:rPr>
          <w:rFonts w:ascii="Calibri" w:hAnsi="Calibri" w:cs="Calibri"/>
          <w:color w:val="000000"/>
          <w:sz w:val="22"/>
          <w:szCs w:val="22"/>
        </w:rPr>
        <w:t xml:space="preserve"> Please provide the latest version of the </w:t>
      </w:r>
      <w:proofErr w:type="spellStart"/>
      <w:r>
        <w:rPr>
          <w:rFonts w:ascii="Calibri" w:hAnsi="Calibri" w:cs="Calibri"/>
          <w:color w:val="000000"/>
          <w:sz w:val="22"/>
          <w:szCs w:val="22"/>
        </w:rPr>
        <w:t>BioMaP</w:t>
      </w:r>
      <w:proofErr w:type="spellEnd"/>
      <w:r>
        <w:rPr>
          <w:rFonts w:ascii="Calibri" w:hAnsi="Calibri" w:cs="Calibri"/>
          <w:color w:val="000000"/>
          <w:sz w:val="22"/>
          <w:szCs w:val="22"/>
        </w:rPr>
        <w:t>-Consortium Base Agreement and any amendments made before proposal submission.</w:t>
      </w:r>
    </w:p>
    <w:p w14:paraId="5240DDA4" w14:textId="4AF3C353" w:rsidR="001477E7" w:rsidRPr="00EC1063" w:rsidRDefault="00FE120D" w:rsidP="004A1274">
      <w:pPr>
        <w:pStyle w:val="NoSpacing"/>
        <w:ind w:left="270"/>
        <w:divId w:val="1211187440"/>
      </w:pPr>
      <w:r w:rsidRPr="0051689B">
        <w:rPr>
          <w:rFonts w:ascii="Calibri" w:hAnsi="Calibri" w:cs="Calibri"/>
          <w:color w:val="000000"/>
          <w:sz w:val="22"/>
          <w:szCs w:val="22"/>
        </w:rPr>
        <w:t xml:space="preserve">A copy of the Base Agreement can be requested from </w:t>
      </w:r>
      <w:hyperlink r:id="rId9" w:history="1">
        <w:r w:rsidR="001477E7" w:rsidRPr="0051689B">
          <w:rPr>
            <w:rFonts w:ascii="Calibri" w:hAnsi="Calibri" w:cs="Calibri"/>
            <w:color w:val="000000"/>
            <w:sz w:val="22"/>
            <w:szCs w:val="22"/>
          </w:rPr>
          <w:t>biomap-contracts@ati.org</w:t>
        </w:r>
      </w:hyperlink>
      <w:r w:rsidRPr="0051689B">
        <w:rPr>
          <w:rFonts w:ascii="Calibri" w:hAnsi="Calibri" w:cs="Calibri"/>
          <w:color w:val="000000"/>
          <w:sz w:val="22"/>
          <w:szCs w:val="22"/>
        </w:rPr>
        <w:t>.</w:t>
      </w:r>
      <w:r w:rsidR="001477E7">
        <w:t xml:space="preserve"> </w:t>
      </w:r>
    </w:p>
    <w:p w14:paraId="6B93F355" w14:textId="40885030" w:rsidR="005F139E" w:rsidRDefault="00FE120D">
      <w:pPr>
        <w:pStyle w:val="Heading2"/>
        <w:rPr>
          <w:rFonts w:ascii="Calibri" w:eastAsia="Times New Roman" w:hAnsi="Calibri" w:cs="Calibri"/>
        </w:rPr>
      </w:pPr>
      <w:r>
        <w:rPr>
          <w:rFonts w:ascii="Calibri" w:eastAsia="Times New Roman" w:hAnsi="Calibri" w:cs="Calibri"/>
        </w:rPr>
        <w:t>2</w:t>
      </w:r>
      <w:r w:rsidR="004C7665">
        <w:rPr>
          <w:rFonts w:ascii="Calibri" w:eastAsia="Times New Roman" w:hAnsi="Calibri" w:cs="Calibri"/>
        </w:rPr>
        <w:t>6</w:t>
      </w:r>
      <w:r>
        <w:rPr>
          <w:rFonts w:ascii="Calibri" w:eastAsia="Times New Roman" w:hAnsi="Calibri" w:cs="Calibri"/>
        </w:rPr>
        <w:t>. Members-Only Resources &amp; Teaming</w:t>
      </w:r>
    </w:p>
    <w:p w14:paraId="25EAF553" w14:textId="2C27FC81" w:rsidR="005F139E" w:rsidRDefault="00FE120D">
      <w:pPr>
        <w:pStyle w:val="q-text"/>
        <w:spacing w:before="60" w:beforeAutospacing="0"/>
        <w:divId w:val="1490514175"/>
        <w:rPr>
          <w:rFonts w:ascii="Calibri" w:hAnsi="Calibri" w:cs="Calibri"/>
          <w:color w:val="000000"/>
          <w:sz w:val="22"/>
          <w:szCs w:val="22"/>
        </w:rPr>
      </w:pPr>
      <w:r>
        <w:rPr>
          <w:rStyle w:val="q-num1"/>
          <w:rFonts w:ascii="Calibri" w:hAnsi="Calibri" w:cs="Calibri"/>
          <w:b/>
          <w:bCs/>
          <w:sz w:val="22"/>
          <w:szCs w:val="22"/>
        </w:rPr>
        <w:t>[111]</w:t>
      </w:r>
      <w:r>
        <w:rPr>
          <w:rFonts w:ascii="Calibri" w:hAnsi="Calibri" w:cs="Calibri"/>
          <w:color w:val="000000"/>
          <w:sz w:val="22"/>
          <w:szCs w:val="22"/>
        </w:rPr>
        <w:t xml:space="preserve"> Request for Members-Only materials bearing on proposal preparation (optional Cost Proposal Format templates, other templates/instructions); access to the Collaboration Database for identifying teaming partners; and whether </w:t>
      </w:r>
      <w:proofErr w:type="gramStart"/>
      <w:r>
        <w:rPr>
          <w:rFonts w:ascii="Calibri" w:hAnsi="Calibri" w:cs="Calibri"/>
          <w:color w:val="000000"/>
          <w:sz w:val="22"/>
          <w:szCs w:val="22"/>
        </w:rPr>
        <w:t>an</w:t>
      </w:r>
      <w:proofErr w:type="gramEnd"/>
      <w:r>
        <w:rPr>
          <w:rFonts w:ascii="Calibri" w:hAnsi="Calibri" w:cs="Calibri"/>
          <w:color w:val="000000"/>
          <w:sz w:val="22"/>
          <w:szCs w:val="22"/>
        </w:rPr>
        <w:t xml:space="preserve"> </w:t>
      </w:r>
      <w:r w:rsidR="00E366AD">
        <w:rPr>
          <w:rFonts w:ascii="Calibri" w:hAnsi="Calibri" w:cs="Calibri"/>
          <w:color w:val="000000"/>
          <w:sz w:val="22"/>
          <w:szCs w:val="22"/>
        </w:rPr>
        <w:t>Respondent</w:t>
      </w:r>
      <w:r>
        <w:rPr>
          <w:rFonts w:ascii="Calibri" w:hAnsi="Calibri" w:cs="Calibri"/>
          <w:color w:val="000000"/>
          <w:sz w:val="22"/>
          <w:szCs w:val="22"/>
        </w:rPr>
        <w:t xml:space="preserve"> with pending membership will be granted advance access.</w:t>
      </w:r>
    </w:p>
    <w:p w14:paraId="41D224EE" w14:textId="70B021F9" w:rsidR="005F139E" w:rsidRDefault="00FE120D">
      <w:pPr>
        <w:pStyle w:val="a-text"/>
        <w:spacing w:after="60" w:afterAutospacing="0"/>
        <w:divId w:val="1490514175"/>
        <w:rPr>
          <w:rFonts w:ascii="Calibri" w:hAnsi="Calibri" w:cs="Calibri"/>
          <w:color w:val="000000"/>
          <w:sz w:val="22"/>
          <w:szCs w:val="22"/>
        </w:rPr>
      </w:pPr>
      <w:r>
        <w:rPr>
          <w:rFonts w:ascii="Calibri" w:hAnsi="Calibri" w:cs="Calibri"/>
          <w:color w:val="000000"/>
          <w:sz w:val="22"/>
          <w:szCs w:val="22"/>
        </w:rPr>
        <w:t xml:space="preserve">The Members-Only site and its resources are available exclusively to current </w:t>
      </w:r>
      <w:proofErr w:type="spellStart"/>
      <w:r>
        <w:rPr>
          <w:rFonts w:ascii="Calibri" w:hAnsi="Calibri" w:cs="Calibri"/>
          <w:color w:val="000000"/>
          <w:sz w:val="22"/>
          <w:szCs w:val="22"/>
        </w:rPr>
        <w:t>BioMaP</w:t>
      </w:r>
      <w:proofErr w:type="spellEnd"/>
      <w:r>
        <w:rPr>
          <w:rFonts w:ascii="Calibri" w:hAnsi="Calibri" w:cs="Calibri"/>
          <w:color w:val="000000"/>
          <w:sz w:val="22"/>
          <w:szCs w:val="22"/>
        </w:rPr>
        <w:t xml:space="preserve">-Consortium members. The Cost Format template is optional, not required — the only required templates are those in Attachment C. The Collaboration Database is only accessible to current Members; access is via the "Membership" dropdown at biomap-consortium.org, then "Collaboration Database" from the top menu. Members without site access should select "New User? Request Access." Non-members may indicate in the AMP submission form that teaming partners were not found through the Collaboration Database. Questions on membership or application status should be directed to </w:t>
      </w:r>
      <w:hyperlink r:id="rId10" w:history="1">
        <w:r w:rsidR="001477E7" w:rsidRPr="001A7BA4">
          <w:rPr>
            <w:rStyle w:val="Hyperlink"/>
            <w:rFonts w:ascii="Calibri" w:hAnsi="Calibri" w:cs="Calibri"/>
            <w:sz w:val="22"/>
            <w:szCs w:val="22"/>
          </w:rPr>
          <w:t>biomapconsortium@ati.org</w:t>
        </w:r>
      </w:hyperlink>
      <w:r>
        <w:rPr>
          <w:rFonts w:ascii="Calibri" w:hAnsi="Calibri" w:cs="Calibri"/>
          <w:color w:val="000000"/>
          <w:sz w:val="22"/>
          <w:szCs w:val="22"/>
        </w:rPr>
        <w:t>.</w:t>
      </w:r>
    </w:p>
    <w:p w14:paraId="35DF85A5" w14:textId="48791DC0" w:rsidR="009B176F" w:rsidRDefault="009B176F">
      <w:pPr>
        <w:spacing w:before="300" w:after="300"/>
        <w:rPr>
          <w:rFonts w:ascii="Calibri" w:eastAsia="Times New Roman" w:hAnsi="Calibri" w:cs="Calibri"/>
          <w:color w:val="000000"/>
          <w:sz w:val="22"/>
          <w:szCs w:val="22"/>
        </w:rPr>
      </w:pPr>
    </w:p>
    <w:p w14:paraId="5F31C35D" w14:textId="77777777" w:rsidR="00455C27" w:rsidRDefault="00455C27">
      <w:pPr>
        <w:spacing w:before="300" w:after="300"/>
        <w:rPr>
          <w:rFonts w:ascii="Calibri" w:eastAsia="Times New Roman" w:hAnsi="Calibri" w:cs="Calibri"/>
          <w:color w:val="000000"/>
          <w:sz w:val="22"/>
          <w:szCs w:val="22"/>
        </w:rPr>
      </w:pPr>
    </w:p>
    <w:p w14:paraId="6021065E" w14:textId="77777777" w:rsidR="00455C27" w:rsidRDefault="00455C27">
      <w:pPr>
        <w:spacing w:before="300" w:after="300"/>
        <w:rPr>
          <w:rFonts w:ascii="Calibri" w:eastAsia="Times New Roman" w:hAnsi="Calibri" w:cs="Calibri"/>
          <w:color w:val="000000"/>
          <w:sz w:val="22"/>
          <w:szCs w:val="22"/>
        </w:rPr>
      </w:pPr>
    </w:p>
    <w:p w14:paraId="5ED0B873" w14:textId="32199F45" w:rsidR="00455C27" w:rsidRPr="00455C27" w:rsidRDefault="00455C27" w:rsidP="00455C27">
      <w:pPr>
        <w:spacing w:before="300" w:after="300"/>
        <w:jc w:val="center"/>
        <w:rPr>
          <w:rFonts w:ascii="Calibri" w:eastAsia="Times New Roman" w:hAnsi="Calibri" w:cs="Calibri"/>
          <w:i/>
          <w:iCs/>
          <w:color w:val="000000"/>
          <w:sz w:val="22"/>
          <w:szCs w:val="22"/>
        </w:rPr>
      </w:pPr>
      <w:r w:rsidRPr="00455C27">
        <w:rPr>
          <w:rFonts w:ascii="Calibri" w:eastAsia="Times New Roman" w:hAnsi="Calibri" w:cs="Calibri"/>
          <w:b/>
          <w:bCs/>
          <w:i/>
          <w:iCs/>
          <w:color w:val="000000"/>
          <w:sz w:val="22"/>
          <w:szCs w:val="22"/>
        </w:rPr>
        <w:t>Note: Question numbers are included for internal reference only and have no significance for Offerors.</w:t>
      </w:r>
    </w:p>
    <w:sectPr w:rsidR="00455C27" w:rsidRPr="00455C27" w:rsidSect="00455C2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86992"/>
    <w:multiLevelType w:val="multilevel"/>
    <w:tmpl w:val="8494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3959E8"/>
    <w:multiLevelType w:val="hybridMultilevel"/>
    <w:tmpl w:val="AC167DFE"/>
    <w:lvl w:ilvl="0" w:tplc="074C5D88">
      <w:start w:val="1"/>
      <w:numFmt w:val="decimal"/>
      <w:lvlText w:val="%1."/>
      <w:lvlJc w:val="left"/>
      <w:pPr>
        <w:ind w:left="1440" w:hanging="360"/>
      </w:pPr>
    </w:lvl>
    <w:lvl w:ilvl="1" w:tplc="85963A58">
      <w:start w:val="1"/>
      <w:numFmt w:val="decimal"/>
      <w:lvlText w:val="%2."/>
      <w:lvlJc w:val="left"/>
      <w:pPr>
        <w:ind w:left="1440" w:hanging="360"/>
      </w:pPr>
    </w:lvl>
    <w:lvl w:ilvl="2" w:tplc="C5BC489C">
      <w:start w:val="1"/>
      <w:numFmt w:val="decimal"/>
      <w:lvlText w:val="%3."/>
      <w:lvlJc w:val="left"/>
      <w:pPr>
        <w:ind w:left="1440" w:hanging="360"/>
      </w:pPr>
    </w:lvl>
    <w:lvl w:ilvl="3" w:tplc="EAFED364">
      <w:start w:val="1"/>
      <w:numFmt w:val="decimal"/>
      <w:lvlText w:val="%4."/>
      <w:lvlJc w:val="left"/>
      <w:pPr>
        <w:ind w:left="1440" w:hanging="360"/>
      </w:pPr>
    </w:lvl>
    <w:lvl w:ilvl="4" w:tplc="2DFA3D8E">
      <w:start w:val="1"/>
      <w:numFmt w:val="decimal"/>
      <w:lvlText w:val="%5."/>
      <w:lvlJc w:val="left"/>
      <w:pPr>
        <w:ind w:left="1440" w:hanging="360"/>
      </w:pPr>
    </w:lvl>
    <w:lvl w:ilvl="5" w:tplc="FE222AAA">
      <w:start w:val="1"/>
      <w:numFmt w:val="decimal"/>
      <w:lvlText w:val="%6."/>
      <w:lvlJc w:val="left"/>
      <w:pPr>
        <w:ind w:left="1440" w:hanging="360"/>
      </w:pPr>
    </w:lvl>
    <w:lvl w:ilvl="6" w:tplc="11F0AB2A">
      <w:start w:val="1"/>
      <w:numFmt w:val="decimal"/>
      <w:lvlText w:val="%7."/>
      <w:lvlJc w:val="left"/>
      <w:pPr>
        <w:ind w:left="1440" w:hanging="360"/>
      </w:pPr>
    </w:lvl>
    <w:lvl w:ilvl="7" w:tplc="E214AFB6">
      <w:start w:val="1"/>
      <w:numFmt w:val="decimal"/>
      <w:lvlText w:val="%8."/>
      <w:lvlJc w:val="left"/>
      <w:pPr>
        <w:ind w:left="1440" w:hanging="360"/>
      </w:pPr>
    </w:lvl>
    <w:lvl w:ilvl="8" w:tplc="655C030E">
      <w:start w:val="1"/>
      <w:numFmt w:val="decimal"/>
      <w:lvlText w:val="%9."/>
      <w:lvlJc w:val="left"/>
      <w:pPr>
        <w:ind w:left="1440" w:hanging="360"/>
      </w:pPr>
    </w:lvl>
  </w:abstractNum>
  <w:abstractNum w:abstractNumId="2" w15:restartNumberingAfterBreak="0">
    <w:nsid w:val="4149576D"/>
    <w:multiLevelType w:val="hybridMultilevel"/>
    <w:tmpl w:val="04C2BE46"/>
    <w:lvl w:ilvl="0" w:tplc="F8BE4F48">
      <w:start w:val="1"/>
      <w:numFmt w:val="decimal"/>
      <w:lvlText w:val="%1."/>
      <w:lvlJc w:val="left"/>
      <w:pPr>
        <w:ind w:left="1440" w:hanging="360"/>
      </w:pPr>
    </w:lvl>
    <w:lvl w:ilvl="1" w:tplc="F55C4BAE">
      <w:start w:val="1"/>
      <w:numFmt w:val="decimal"/>
      <w:lvlText w:val="%2."/>
      <w:lvlJc w:val="left"/>
      <w:pPr>
        <w:ind w:left="1440" w:hanging="360"/>
      </w:pPr>
    </w:lvl>
    <w:lvl w:ilvl="2" w:tplc="EA2E669A">
      <w:start w:val="1"/>
      <w:numFmt w:val="decimal"/>
      <w:lvlText w:val="%3."/>
      <w:lvlJc w:val="left"/>
      <w:pPr>
        <w:ind w:left="1440" w:hanging="360"/>
      </w:pPr>
    </w:lvl>
    <w:lvl w:ilvl="3" w:tplc="9DD20F14">
      <w:start w:val="1"/>
      <w:numFmt w:val="decimal"/>
      <w:lvlText w:val="%4."/>
      <w:lvlJc w:val="left"/>
      <w:pPr>
        <w:ind w:left="1440" w:hanging="360"/>
      </w:pPr>
    </w:lvl>
    <w:lvl w:ilvl="4" w:tplc="E3E68A78">
      <w:start w:val="1"/>
      <w:numFmt w:val="decimal"/>
      <w:lvlText w:val="%5."/>
      <w:lvlJc w:val="left"/>
      <w:pPr>
        <w:ind w:left="1440" w:hanging="360"/>
      </w:pPr>
    </w:lvl>
    <w:lvl w:ilvl="5" w:tplc="9F807CE0">
      <w:start w:val="1"/>
      <w:numFmt w:val="decimal"/>
      <w:lvlText w:val="%6."/>
      <w:lvlJc w:val="left"/>
      <w:pPr>
        <w:ind w:left="1440" w:hanging="360"/>
      </w:pPr>
    </w:lvl>
    <w:lvl w:ilvl="6" w:tplc="159A38A4">
      <w:start w:val="1"/>
      <w:numFmt w:val="decimal"/>
      <w:lvlText w:val="%7."/>
      <w:lvlJc w:val="left"/>
      <w:pPr>
        <w:ind w:left="1440" w:hanging="360"/>
      </w:pPr>
    </w:lvl>
    <w:lvl w:ilvl="7" w:tplc="3828AB10">
      <w:start w:val="1"/>
      <w:numFmt w:val="decimal"/>
      <w:lvlText w:val="%8."/>
      <w:lvlJc w:val="left"/>
      <w:pPr>
        <w:ind w:left="1440" w:hanging="360"/>
      </w:pPr>
    </w:lvl>
    <w:lvl w:ilvl="8" w:tplc="1A06A8DC">
      <w:start w:val="1"/>
      <w:numFmt w:val="decimal"/>
      <w:lvlText w:val="%9."/>
      <w:lvlJc w:val="left"/>
      <w:pPr>
        <w:ind w:left="1440" w:hanging="360"/>
      </w:pPr>
    </w:lvl>
  </w:abstractNum>
  <w:abstractNum w:abstractNumId="3" w15:restartNumberingAfterBreak="0">
    <w:nsid w:val="4FC20313"/>
    <w:multiLevelType w:val="hybridMultilevel"/>
    <w:tmpl w:val="323A2620"/>
    <w:lvl w:ilvl="0" w:tplc="1F02F000">
      <w:start w:val="1"/>
      <w:numFmt w:val="decimal"/>
      <w:lvlText w:val="%1."/>
      <w:lvlJc w:val="left"/>
      <w:pPr>
        <w:ind w:left="1440" w:hanging="360"/>
      </w:pPr>
    </w:lvl>
    <w:lvl w:ilvl="1" w:tplc="C70A57C2">
      <w:start w:val="1"/>
      <w:numFmt w:val="decimal"/>
      <w:lvlText w:val="%2."/>
      <w:lvlJc w:val="left"/>
      <w:pPr>
        <w:ind w:left="1440" w:hanging="360"/>
      </w:pPr>
    </w:lvl>
    <w:lvl w:ilvl="2" w:tplc="43E644A6">
      <w:start w:val="1"/>
      <w:numFmt w:val="decimal"/>
      <w:lvlText w:val="%3."/>
      <w:lvlJc w:val="left"/>
      <w:pPr>
        <w:ind w:left="1440" w:hanging="360"/>
      </w:pPr>
    </w:lvl>
    <w:lvl w:ilvl="3" w:tplc="2A741980">
      <w:start w:val="1"/>
      <w:numFmt w:val="decimal"/>
      <w:lvlText w:val="%4."/>
      <w:lvlJc w:val="left"/>
      <w:pPr>
        <w:ind w:left="1440" w:hanging="360"/>
      </w:pPr>
    </w:lvl>
    <w:lvl w:ilvl="4" w:tplc="9A763610">
      <w:start w:val="1"/>
      <w:numFmt w:val="decimal"/>
      <w:lvlText w:val="%5."/>
      <w:lvlJc w:val="left"/>
      <w:pPr>
        <w:ind w:left="1440" w:hanging="360"/>
      </w:pPr>
    </w:lvl>
    <w:lvl w:ilvl="5" w:tplc="51E06EB0">
      <w:start w:val="1"/>
      <w:numFmt w:val="decimal"/>
      <w:lvlText w:val="%6."/>
      <w:lvlJc w:val="left"/>
      <w:pPr>
        <w:ind w:left="1440" w:hanging="360"/>
      </w:pPr>
    </w:lvl>
    <w:lvl w:ilvl="6" w:tplc="C9763D96">
      <w:start w:val="1"/>
      <w:numFmt w:val="decimal"/>
      <w:lvlText w:val="%7."/>
      <w:lvlJc w:val="left"/>
      <w:pPr>
        <w:ind w:left="1440" w:hanging="360"/>
      </w:pPr>
    </w:lvl>
    <w:lvl w:ilvl="7" w:tplc="1964889E">
      <w:start w:val="1"/>
      <w:numFmt w:val="decimal"/>
      <w:lvlText w:val="%8."/>
      <w:lvlJc w:val="left"/>
      <w:pPr>
        <w:ind w:left="1440" w:hanging="360"/>
      </w:pPr>
    </w:lvl>
    <w:lvl w:ilvl="8" w:tplc="AEBC05C2">
      <w:start w:val="1"/>
      <w:numFmt w:val="decimal"/>
      <w:lvlText w:val="%9."/>
      <w:lvlJc w:val="left"/>
      <w:pPr>
        <w:ind w:left="1440" w:hanging="360"/>
      </w:pPr>
    </w:lvl>
  </w:abstractNum>
  <w:abstractNum w:abstractNumId="4" w15:restartNumberingAfterBreak="0">
    <w:nsid w:val="7A2359DB"/>
    <w:multiLevelType w:val="hybridMultilevel"/>
    <w:tmpl w:val="E05CEF44"/>
    <w:lvl w:ilvl="0" w:tplc="B1B638B4">
      <w:start w:val="1"/>
      <w:numFmt w:val="decimal"/>
      <w:lvlText w:val="%1."/>
      <w:lvlJc w:val="left"/>
      <w:pPr>
        <w:ind w:left="1440" w:hanging="360"/>
      </w:pPr>
    </w:lvl>
    <w:lvl w:ilvl="1" w:tplc="B0148500">
      <w:start w:val="1"/>
      <w:numFmt w:val="decimal"/>
      <w:lvlText w:val="%2."/>
      <w:lvlJc w:val="left"/>
      <w:pPr>
        <w:ind w:left="1440" w:hanging="360"/>
      </w:pPr>
    </w:lvl>
    <w:lvl w:ilvl="2" w:tplc="D6F290DA">
      <w:start w:val="1"/>
      <w:numFmt w:val="decimal"/>
      <w:lvlText w:val="%3."/>
      <w:lvlJc w:val="left"/>
      <w:pPr>
        <w:ind w:left="1440" w:hanging="360"/>
      </w:pPr>
    </w:lvl>
    <w:lvl w:ilvl="3" w:tplc="6FFEDF2E">
      <w:start w:val="1"/>
      <w:numFmt w:val="decimal"/>
      <w:lvlText w:val="%4."/>
      <w:lvlJc w:val="left"/>
      <w:pPr>
        <w:ind w:left="1440" w:hanging="360"/>
      </w:pPr>
    </w:lvl>
    <w:lvl w:ilvl="4" w:tplc="8B84F042">
      <w:start w:val="1"/>
      <w:numFmt w:val="decimal"/>
      <w:lvlText w:val="%5."/>
      <w:lvlJc w:val="left"/>
      <w:pPr>
        <w:ind w:left="1440" w:hanging="360"/>
      </w:pPr>
    </w:lvl>
    <w:lvl w:ilvl="5" w:tplc="D7A216A6">
      <w:start w:val="1"/>
      <w:numFmt w:val="decimal"/>
      <w:lvlText w:val="%6."/>
      <w:lvlJc w:val="left"/>
      <w:pPr>
        <w:ind w:left="1440" w:hanging="360"/>
      </w:pPr>
    </w:lvl>
    <w:lvl w:ilvl="6" w:tplc="53F8E490">
      <w:start w:val="1"/>
      <w:numFmt w:val="decimal"/>
      <w:lvlText w:val="%7."/>
      <w:lvlJc w:val="left"/>
      <w:pPr>
        <w:ind w:left="1440" w:hanging="360"/>
      </w:pPr>
    </w:lvl>
    <w:lvl w:ilvl="7" w:tplc="299E00FE">
      <w:start w:val="1"/>
      <w:numFmt w:val="decimal"/>
      <w:lvlText w:val="%8."/>
      <w:lvlJc w:val="left"/>
      <w:pPr>
        <w:ind w:left="1440" w:hanging="360"/>
      </w:pPr>
    </w:lvl>
    <w:lvl w:ilvl="8" w:tplc="5DFCF53E">
      <w:start w:val="1"/>
      <w:numFmt w:val="decimal"/>
      <w:lvlText w:val="%9."/>
      <w:lvlJc w:val="left"/>
      <w:pPr>
        <w:ind w:left="1440" w:hanging="360"/>
      </w:pPr>
    </w:lvl>
  </w:abstractNum>
  <w:num w:numId="1" w16cid:durableId="429280515">
    <w:abstractNumId w:val="0"/>
  </w:num>
  <w:num w:numId="2" w16cid:durableId="1983002833">
    <w:abstractNumId w:val="4"/>
  </w:num>
  <w:num w:numId="3" w16cid:durableId="1135172509">
    <w:abstractNumId w:val="1"/>
  </w:num>
  <w:num w:numId="4" w16cid:durableId="816383344">
    <w:abstractNumId w:val="3"/>
  </w:num>
  <w:num w:numId="5" w16cid:durableId="14170973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665"/>
    <w:rsid w:val="000016B3"/>
    <w:rsid w:val="0000423F"/>
    <w:rsid w:val="00013143"/>
    <w:rsid w:val="000139B7"/>
    <w:rsid w:val="0001689E"/>
    <w:rsid w:val="00021D94"/>
    <w:rsid w:val="0002304D"/>
    <w:rsid w:val="000301C2"/>
    <w:rsid w:val="00033DD9"/>
    <w:rsid w:val="00033F56"/>
    <w:rsid w:val="00035118"/>
    <w:rsid w:val="000376CE"/>
    <w:rsid w:val="00040479"/>
    <w:rsid w:val="000422DF"/>
    <w:rsid w:val="00043BBB"/>
    <w:rsid w:val="0005175A"/>
    <w:rsid w:val="00063462"/>
    <w:rsid w:val="000636E1"/>
    <w:rsid w:val="00063A04"/>
    <w:rsid w:val="00063CFF"/>
    <w:rsid w:val="000645B9"/>
    <w:rsid w:val="000645DB"/>
    <w:rsid w:val="00064B01"/>
    <w:rsid w:val="0007027B"/>
    <w:rsid w:val="00072E8A"/>
    <w:rsid w:val="000747AE"/>
    <w:rsid w:val="0007729D"/>
    <w:rsid w:val="00082B1D"/>
    <w:rsid w:val="0008560B"/>
    <w:rsid w:val="00086371"/>
    <w:rsid w:val="00086D51"/>
    <w:rsid w:val="00087797"/>
    <w:rsid w:val="00090286"/>
    <w:rsid w:val="00092994"/>
    <w:rsid w:val="00094678"/>
    <w:rsid w:val="00096B8A"/>
    <w:rsid w:val="000A1686"/>
    <w:rsid w:val="000A1B72"/>
    <w:rsid w:val="000A291B"/>
    <w:rsid w:val="000A29C4"/>
    <w:rsid w:val="000A4DE6"/>
    <w:rsid w:val="000A620D"/>
    <w:rsid w:val="000A7CE9"/>
    <w:rsid w:val="000B3B5E"/>
    <w:rsid w:val="000B4228"/>
    <w:rsid w:val="000B4269"/>
    <w:rsid w:val="000B4B1C"/>
    <w:rsid w:val="000B6710"/>
    <w:rsid w:val="000B680D"/>
    <w:rsid w:val="000B7F8B"/>
    <w:rsid w:val="000C031D"/>
    <w:rsid w:val="000C2830"/>
    <w:rsid w:val="000C5658"/>
    <w:rsid w:val="000C6DDB"/>
    <w:rsid w:val="000C7043"/>
    <w:rsid w:val="000C7AC8"/>
    <w:rsid w:val="000D20CA"/>
    <w:rsid w:val="000D2D0A"/>
    <w:rsid w:val="000E0927"/>
    <w:rsid w:val="000E31EA"/>
    <w:rsid w:val="000E71C6"/>
    <w:rsid w:val="000E7EBA"/>
    <w:rsid w:val="000F5BC2"/>
    <w:rsid w:val="000F753C"/>
    <w:rsid w:val="000F7C93"/>
    <w:rsid w:val="00100444"/>
    <w:rsid w:val="00103F60"/>
    <w:rsid w:val="0011271F"/>
    <w:rsid w:val="00116302"/>
    <w:rsid w:val="00116BDA"/>
    <w:rsid w:val="0011741B"/>
    <w:rsid w:val="00117EA2"/>
    <w:rsid w:val="0012272D"/>
    <w:rsid w:val="00122A64"/>
    <w:rsid w:val="00125BEF"/>
    <w:rsid w:val="00133F46"/>
    <w:rsid w:val="00136217"/>
    <w:rsid w:val="001378AA"/>
    <w:rsid w:val="00141B0F"/>
    <w:rsid w:val="00144463"/>
    <w:rsid w:val="001454A0"/>
    <w:rsid w:val="00145D27"/>
    <w:rsid w:val="00146CD3"/>
    <w:rsid w:val="00146CFB"/>
    <w:rsid w:val="001477E7"/>
    <w:rsid w:val="00150703"/>
    <w:rsid w:val="00154734"/>
    <w:rsid w:val="00161CE5"/>
    <w:rsid w:val="001641C0"/>
    <w:rsid w:val="00165657"/>
    <w:rsid w:val="00171C5E"/>
    <w:rsid w:val="00173CC7"/>
    <w:rsid w:val="00177576"/>
    <w:rsid w:val="0017783D"/>
    <w:rsid w:val="00181EEE"/>
    <w:rsid w:val="00186828"/>
    <w:rsid w:val="00186D8F"/>
    <w:rsid w:val="001960A6"/>
    <w:rsid w:val="001A2D04"/>
    <w:rsid w:val="001A331F"/>
    <w:rsid w:val="001A3BD7"/>
    <w:rsid w:val="001A752B"/>
    <w:rsid w:val="001B0598"/>
    <w:rsid w:val="001B266C"/>
    <w:rsid w:val="001B6AFD"/>
    <w:rsid w:val="001B74CA"/>
    <w:rsid w:val="001C00C5"/>
    <w:rsid w:val="001C1E4A"/>
    <w:rsid w:val="001C3243"/>
    <w:rsid w:val="001C6290"/>
    <w:rsid w:val="001D20F9"/>
    <w:rsid w:val="001D33C6"/>
    <w:rsid w:val="001D5696"/>
    <w:rsid w:val="001E456B"/>
    <w:rsid w:val="001E7DEB"/>
    <w:rsid w:val="001F1A04"/>
    <w:rsid w:val="001F2F72"/>
    <w:rsid w:val="001F75F0"/>
    <w:rsid w:val="0020173F"/>
    <w:rsid w:val="002043B3"/>
    <w:rsid w:val="00204F90"/>
    <w:rsid w:val="002061F0"/>
    <w:rsid w:val="002065B4"/>
    <w:rsid w:val="002135EA"/>
    <w:rsid w:val="00213D63"/>
    <w:rsid w:val="00214497"/>
    <w:rsid w:val="002150D3"/>
    <w:rsid w:val="00216537"/>
    <w:rsid w:val="002169EC"/>
    <w:rsid w:val="00220874"/>
    <w:rsid w:val="00230282"/>
    <w:rsid w:val="00230DB3"/>
    <w:rsid w:val="002317B5"/>
    <w:rsid w:val="00231B78"/>
    <w:rsid w:val="00235306"/>
    <w:rsid w:val="002369A3"/>
    <w:rsid w:val="00237AA3"/>
    <w:rsid w:val="00240C3C"/>
    <w:rsid w:val="00241A70"/>
    <w:rsid w:val="00247780"/>
    <w:rsid w:val="00247CDF"/>
    <w:rsid w:val="00250F30"/>
    <w:rsid w:val="0025179B"/>
    <w:rsid w:val="00254F45"/>
    <w:rsid w:val="002560E7"/>
    <w:rsid w:val="0025629B"/>
    <w:rsid w:val="00257F3B"/>
    <w:rsid w:val="0026259B"/>
    <w:rsid w:val="00270A47"/>
    <w:rsid w:val="00272819"/>
    <w:rsid w:val="00276A60"/>
    <w:rsid w:val="00281634"/>
    <w:rsid w:val="0028191D"/>
    <w:rsid w:val="00281D84"/>
    <w:rsid w:val="00284AF8"/>
    <w:rsid w:val="00286F57"/>
    <w:rsid w:val="002877A0"/>
    <w:rsid w:val="00287F1D"/>
    <w:rsid w:val="002A0077"/>
    <w:rsid w:val="002A2469"/>
    <w:rsid w:val="002A29FE"/>
    <w:rsid w:val="002A5D41"/>
    <w:rsid w:val="002B0064"/>
    <w:rsid w:val="002B0411"/>
    <w:rsid w:val="002B0553"/>
    <w:rsid w:val="002C1744"/>
    <w:rsid w:val="002C36FD"/>
    <w:rsid w:val="002C38AF"/>
    <w:rsid w:val="002C4893"/>
    <w:rsid w:val="002D1FF1"/>
    <w:rsid w:val="002D3763"/>
    <w:rsid w:val="002D584B"/>
    <w:rsid w:val="002D5EAE"/>
    <w:rsid w:val="002E1FC7"/>
    <w:rsid w:val="002E3820"/>
    <w:rsid w:val="002E3A1F"/>
    <w:rsid w:val="002E451F"/>
    <w:rsid w:val="002E6F1B"/>
    <w:rsid w:val="002E757B"/>
    <w:rsid w:val="002E7AC9"/>
    <w:rsid w:val="002E7CAE"/>
    <w:rsid w:val="002F26EC"/>
    <w:rsid w:val="002F35F5"/>
    <w:rsid w:val="002F4271"/>
    <w:rsid w:val="003014CD"/>
    <w:rsid w:val="003032C2"/>
    <w:rsid w:val="00312395"/>
    <w:rsid w:val="0031375C"/>
    <w:rsid w:val="0032338C"/>
    <w:rsid w:val="00323DDF"/>
    <w:rsid w:val="00324B59"/>
    <w:rsid w:val="00324B6D"/>
    <w:rsid w:val="00327C13"/>
    <w:rsid w:val="0033039E"/>
    <w:rsid w:val="003336FD"/>
    <w:rsid w:val="00333977"/>
    <w:rsid w:val="00334DD3"/>
    <w:rsid w:val="00334DFE"/>
    <w:rsid w:val="00336C1F"/>
    <w:rsid w:val="0034116C"/>
    <w:rsid w:val="00341ABE"/>
    <w:rsid w:val="00346DDE"/>
    <w:rsid w:val="00350206"/>
    <w:rsid w:val="00353EF0"/>
    <w:rsid w:val="00355A2B"/>
    <w:rsid w:val="00355D52"/>
    <w:rsid w:val="003653C3"/>
    <w:rsid w:val="0036740B"/>
    <w:rsid w:val="00372D13"/>
    <w:rsid w:val="00372E37"/>
    <w:rsid w:val="00374AFD"/>
    <w:rsid w:val="00374DC1"/>
    <w:rsid w:val="00376CF6"/>
    <w:rsid w:val="00380CBD"/>
    <w:rsid w:val="00383DB6"/>
    <w:rsid w:val="00387D19"/>
    <w:rsid w:val="0039109A"/>
    <w:rsid w:val="00391985"/>
    <w:rsid w:val="00393233"/>
    <w:rsid w:val="0039380A"/>
    <w:rsid w:val="00395DD7"/>
    <w:rsid w:val="003A056A"/>
    <w:rsid w:val="003A1F7C"/>
    <w:rsid w:val="003A233D"/>
    <w:rsid w:val="003A2C12"/>
    <w:rsid w:val="003A53C1"/>
    <w:rsid w:val="003B607E"/>
    <w:rsid w:val="003C08DB"/>
    <w:rsid w:val="003C10B4"/>
    <w:rsid w:val="003C7214"/>
    <w:rsid w:val="003D2679"/>
    <w:rsid w:val="003D7D5B"/>
    <w:rsid w:val="003E1041"/>
    <w:rsid w:val="003E4275"/>
    <w:rsid w:val="003E5F13"/>
    <w:rsid w:val="003E63B6"/>
    <w:rsid w:val="003F043F"/>
    <w:rsid w:val="003F0D83"/>
    <w:rsid w:val="003F1B4F"/>
    <w:rsid w:val="003F31C1"/>
    <w:rsid w:val="003F5F7F"/>
    <w:rsid w:val="003F6AFF"/>
    <w:rsid w:val="00400BE1"/>
    <w:rsid w:val="004038C4"/>
    <w:rsid w:val="00404BBF"/>
    <w:rsid w:val="00405377"/>
    <w:rsid w:val="004065A3"/>
    <w:rsid w:val="004108AC"/>
    <w:rsid w:val="00410C6C"/>
    <w:rsid w:val="00411B8C"/>
    <w:rsid w:val="0041285D"/>
    <w:rsid w:val="00422534"/>
    <w:rsid w:val="004237AA"/>
    <w:rsid w:val="0042403B"/>
    <w:rsid w:val="004254B5"/>
    <w:rsid w:val="00426000"/>
    <w:rsid w:val="0042779E"/>
    <w:rsid w:val="004315B4"/>
    <w:rsid w:val="00435953"/>
    <w:rsid w:val="00442062"/>
    <w:rsid w:val="004425F5"/>
    <w:rsid w:val="00445902"/>
    <w:rsid w:val="004473FB"/>
    <w:rsid w:val="004508F4"/>
    <w:rsid w:val="0045100A"/>
    <w:rsid w:val="004526B9"/>
    <w:rsid w:val="00452E1E"/>
    <w:rsid w:val="00452EEA"/>
    <w:rsid w:val="00453FCE"/>
    <w:rsid w:val="004544EA"/>
    <w:rsid w:val="00454D61"/>
    <w:rsid w:val="00455C27"/>
    <w:rsid w:val="00457272"/>
    <w:rsid w:val="00457871"/>
    <w:rsid w:val="00457D9B"/>
    <w:rsid w:val="004630F5"/>
    <w:rsid w:val="004732C2"/>
    <w:rsid w:val="00473457"/>
    <w:rsid w:val="00475DB5"/>
    <w:rsid w:val="00477AA5"/>
    <w:rsid w:val="004810F8"/>
    <w:rsid w:val="00484818"/>
    <w:rsid w:val="00484FDE"/>
    <w:rsid w:val="0048648D"/>
    <w:rsid w:val="0049159E"/>
    <w:rsid w:val="00493397"/>
    <w:rsid w:val="00493F21"/>
    <w:rsid w:val="004A0DD8"/>
    <w:rsid w:val="004A1274"/>
    <w:rsid w:val="004A3DAD"/>
    <w:rsid w:val="004A5331"/>
    <w:rsid w:val="004B1B25"/>
    <w:rsid w:val="004C0320"/>
    <w:rsid w:val="004C0BC5"/>
    <w:rsid w:val="004C0DD5"/>
    <w:rsid w:val="004C26A1"/>
    <w:rsid w:val="004C2E9C"/>
    <w:rsid w:val="004C4331"/>
    <w:rsid w:val="004C4FB3"/>
    <w:rsid w:val="004C4FFD"/>
    <w:rsid w:val="004C5D66"/>
    <w:rsid w:val="004C6944"/>
    <w:rsid w:val="004C7458"/>
    <w:rsid w:val="004C7665"/>
    <w:rsid w:val="004D0D2A"/>
    <w:rsid w:val="004D0D4C"/>
    <w:rsid w:val="004D3FBE"/>
    <w:rsid w:val="004D5ACC"/>
    <w:rsid w:val="004D6C27"/>
    <w:rsid w:val="004E11E3"/>
    <w:rsid w:val="004E3FF7"/>
    <w:rsid w:val="004E4B1A"/>
    <w:rsid w:val="004E749B"/>
    <w:rsid w:val="004F48AE"/>
    <w:rsid w:val="004F4EFB"/>
    <w:rsid w:val="004F6C5B"/>
    <w:rsid w:val="005002A7"/>
    <w:rsid w:val="005029A0"/>
    <w:rsid w:val="00502C38"/>
    <w:rsid w:val="00503B2B"/>
    <w:rsid w:val="00503D26"/>
    <w:rsid w:val="005054F5"/>
    <w:rsid w:val="0050559A"/>
    <w:rsid w:val="00505C53"/>
    <w:rsid w:val="0051026D"/>
    <w:rsid w:val="0051250B"/>
    <w:rsid w:val="0051413C"/>
    <w:rsid w:val="0051689B"/>
    <w:rsid w:val="005172DC"/>
    <w:rsid w:val="0052584C"/>
    <w:rsid w:val="00532771"/>
    <w:rsid w:val="005340B2"/>
    <w:rsid w:val="00545274"/>
    <w:rsid w:val="00545682"/>
    <w:rsid w:val="00547817"/>
    <w:rsid w:val="00551AD6"/>
    <w:rsid w:val="00551DC0"/>
    <w:rsid w:val="0055455A"/>
    <w:rsid w:val="00554E33"/>
    <w:rsid w:val="00555AA5"/>
    <w:rsid w:val="00557622"/>
    <w:rsid w:val="00560731"/>
    <w:rsid w:val="00560FAD"/>
    <w:rsid w:val="0057041A"/>
    <w:rsid w:val="005731FF"/>
    <w:rsid w:val="005733B3"/>
    <w:rsid w:val="0057380F"/>
    <w:rsid w:val="00575465"/>
    <w:rsid w:val="00577401"/>
    <w:rsid w:val="00577967"/>
    <w:rsid w:val="0058197C"/>
    <w:rsid w:val="005828E0"/>
    <w:rsid w:val="0058368A"/>
    <w:rsid w:val="005857C5"/>
    <w:rsid w:val="00585E38"/>
    <w:rsid w:val="00587F01"/>
    <w:rsid w:val="005906A9"/>
    <w:rsid w:val="005906BC"/>
    <w:rsid w:val="00590CF7"/>
    <w:rsid w:val="00594662"/>
    <w:rsid w:val="00597D68"/>
    <w:rsid w:val="005A0C44"/>
    <w:rsid w:val="005A2D52"/>
    <w:rsid w:val="005A3ED1"/>
    <w:rsid w:val="005A6353"/>
    <w:rsid w:val="005B241C"/>
    <w:rsid w:val="005B387A"/>
    <w:rsid w:val="005B42AE"/>
    <w:rsid w:val="005B72E6"/>
    <w:rsid w:val="005D0398"/>
    <w:rsid w:val="005D03C1"/>
    <w:rsid w:val="005D0890"/>
    <w:rsid w:val="005D1DDF"/>
    <w:rsid w:val="005D2EAA"/>
    <w:rsid w:val="005D3D9C"/>
    <w:rsid w:val="005D4047"/>
    <w:rsid w:val="005D4247"/>
    <w:rsid w:val="005D5640"/>
    <w:rsid w:val="005D5CC5"/>
    <w:rsid w:val="005D6876"/>
    <w:rsid w:val="005D6A34"/>
    <w:rsid w:val="005D6B0E"/>
    <w:rsid w:val="005E1E94"/>
    <w:rsid w:val="005E351D"/>
    <w:rsid w:val="005E5228"/>
    <w:rsid w:val="005E6016"/>
    <w:rsid w:val="005F139E"/>
    <w:rsid w:val="005F1880"/>
    <w:rsid w:val="005F3336"/>
    <w:rsid w:val="005F59A8"/>
    <w:rsid w:val="006107D6"/>
    <w:rsid w:val="00611519"/>
    <w:rsid w:val="00614E80"/>
    <w:rsid w:val="0061771E"/>
    <w:rsid w:val="00624CD6"/>
    <w:rsid w:val="00625639"/>
    <w:rsid w:val="00630999"/>
    <w:rsid w:val="0063138E"/>
    <w:rsid w:val="00631B8D"/>
    <w:rsid w:val="00634C7E"/>
    <w:rsid w:val="00642D65"/>
    <w:rsid w:val="0064430C"/>
    <w:rsid w:val="00646547"/>
    <w:rsid w:val="0064738D"/>
    <w:rsid w:val="00647403"/>
    <w:rsid w:val="00650625"/>
    <w:rsid w:val="00650AD5"/>
    <w:rsid w:val="006523F6"/>
    <w:rsid w:val="0066231B"/>
    <w:rsid w:val="006631C9"/>
    <w:rsid w:val="00663945"/>
    <w:rsid w:val="00664DA0"/>
    <w:rsid w:val="00665FC3"/>
    <w:rsid w:val="006711CC"/>
    <w:rsid w:val="00671CBF"/>
    <w:rsid w:val="00672C51"/>
    <w:rsid w:val="00673032"/>
    <w:rsid w:val="00680774"/>
    <w:rsid w:val="00681329"/>
    <w:rsid w:val="0068151D"/>
    <w:rsid w:val="00681630"/>
    <w:rsid w:val="00681F21"/>
    <w:rsid w:val="00691113"/>
    <w:rsid w:val="0069223E"/>
    <w:rsid w:val="00693743"/>
    <w:rsid w:val="006963D7"/>
    <w:rsid w:val="006978F4"/>
    <w:rsid w:val="006A13B1"/>
    <w:rsid w:val="006A18A1"/>
    <w:rsid w:val="006A23F4"/>
    <w:rsid w:val="006A2FEE"/>
    <w:rsid w:val="006A44FF"/>
    <w:rsid w:val="006B5252"/>
    <w:rsid w:val="006B6A01"/>
    <w:rsid w:val="006B72F2"/>
    <w:rsid w:val="006B7D82"/>
    <w:rsid w:val="006C1311"/>
    <w:rsid w:val="006C7489"/>
    <w:rsid w:val="006C7C65"/>
    <w:rsid w:val="006D0BDD"/>
    <w:rsid w:val="006D2450"/>
    <w:rsid w:val="006D29D2"/>
    <w:rsid w:val="006D329B"/>
    <w:rsid w:val="006D54D1"/>
    <w:rsid w:val="006E0D34"/>
    <w:rsid w:val="006E20C0"/>
    <w:rsid w:val="006E6FC2"/>
    <w:rsid w:val="006F405E"/>
    <w:rsid w:val="0070026F"/>
    <w:rsid w:val="00704B33"/>
    <w:rsid w:val="007136F7"/>
    <w:rsid w:val="00715535"/>
    <w:rsid w:val="00715631"/>
    <w:rsid w:val="0071566A"/>
    <w:rsid w:val="0071674A"/>
    <w:rsid w:val="00721369"/>
    <w:rsid w:val="00721C4A"/>
    <w:rsid w:val="00722FE6"/>
    <w:rsid w:val="0072308F"/>
    <w:rsid w:val="007243BB"/>
    <w:rsid w:val="00725A5D"/>
    <w:rsid w:val="007303F5"/>
    <w:rsid w:val="00731426"/>
    <w:rsid w:val="00734CC1"/>
    <w:rsid w:val="00736C3F"/>
    <w:rsid w:val="00744DD6"/>
    <w:rsid w:val="00746160"/>
    <w:rsid w:val="00746F94"/>
    <w:rsid w:val="00751DEA"/>
    <w:rsid w:val="00752BA9"/>
    <w:rsid w:val="00757686"/>
    <w:rsid w:val="0076138C"/>
    <w:rsid w:val="007618A6"/>
    <w:rsid w:val="0076424D"/>
    <w:rsid w:val="00765A97"/>
    <w:rsid w:val="0076717A"/>
    <w:rsid w:val="0077436C"/>
    <w:rsid w:val="00774D9F"/>
    <w:rsid w:val="00774ECD"/>
    <w:rsid w:val="007758B4"/>
    <w:rsid w:val="0077692A"/>
    <w:rsid w:val="007810B6"/>
    <w:rsid w:val="0078255B"/>
    <w:rsid w:val="00785258"/>
    <w:rsid w:val="007916B9"/>
    <w:rsid w:val="00791F5D"/>
    <w:rsid w:val="0079207C"/>
    <w:rsid w:val="00793486"/>
    <w:rsid w:val="00794FED"/>
    <w:rsid w:val="007A0466"/>
    <w:rsid w:val="007A4AEF"/>
    <w:rsid w:val="007A5D83"/>
    <w:rsid w:val="007B2C02"/>
    <w:rsid w:val="007B5910"/>
    <w:rsid w:val="007C0D08"/>
    <w:rsid w:val="007C2B68"/>
    <w:rsid w:val="007C2C5D"/>
    <w:rsid w:val="007C358B"/>
    <w:rsid w:val="007C540C"/>
    <w:rsid w:val="007C5E57"/>
    <w:rsid w:val="007D1310"/>
    <w:rsid w:val="007D1D85"/>
    <w:rsid w:val="007D2B76"/>
    <w:rsid w:val="007D3613"/>
    <w:rsid w:val="007D5B7A"/>
    <w:rsid w:val="007D6743"/>
    <w:rsid w:val="007E16A8"/>
    <w:rsid w:val="007E3A73"/>
    <w:rsid w:val="007E5171"/>
    <w:rsid w:val="007F1C71"/>
    <w:rsid w:val="007F3CBB"/>
    <w:rsid w:val="007F66DA"/>
    <w:rsid w:val="007F7856"/>
    <w:rsid w:val="007F7DA7"/>
    <w:rsid w:val="00801FF7"/>
    <w:rsid w:val="00802BD8"/>
    <w:rsid w:val="0080521E"/>
    <w:rsid w:val="0081070B"/>
    <w:rsid w:val="008144F9"/>
    <w:rsid w:val="008161B0"/>
    <w:rsid w:val="00820177"/>
    <w:rsid w:val="00820CE4"/>
    <w:rsid w:val="00821D36"/>
    <w:rsid w:val="00822C80"/>
    <w:rsid w:val="008232A1"/>
    <w:rsid w:val="008236F2"/>
    <w:rsid w:val="00824C87"/>
    <w:rsid w:val="0082647E"/>
    <w:rsid w:val="00826FD6"/>
    <w:rsid w:val="008307CE"/>
    <w:rsid w:val="008317A0"/>
    <w:rsid w:val="00833DAD"/>
    <w:rsid w:val="00834197"/>
    <w:rsid w:val="00837410"/>
    <w:rsid w:val="00841BD0"/>
    <w:rsid w:val="0084661C"/>
    <w:rsid w:val="00850860"/>
    <w:rsid w:val="00855C39"/>
    <w:rsid w:val="00856D5B"/>
    <w:rsid w:val="00870D03"/>
    <w:rsid w:val="00871F07"/>
    <w:rsid w:val="0088258F"/>
    <w:rsid w:val="0088548D"/>
    <w:rsid w:val="008857BC"/>
    <w:rsid w:val="00886B1A"/>
    <w:rsid w:val="0089744B"/>
    <w:rsid w:val="008A332A"/>
    <w:rsid w:val="008A54B7"/>
    <w:rsid w:val="008A772A"/>
    <w:rsid w:val="008B1F86"/>
    <w:rsid w:val="008B4E91"/>
    <w:rsid w:val="008B53FD"/>
    <w:rsid w:val="008B5F38"/>
    <w:rsid w:val="008B7F5D"/>
    <w:rsid w:val="008C013C"/>
    <w:rsid w:val="008C2944"/>
    <w:rsid w:val="008C5596"/>
    <w:rsid w:val="008C7698"/>
    <w:rsid w:val="008D1B86"/>
    <w:rsid w:val="008D2069"/>
    <w:rsid w:val="008D4FC5"/>
    <w:rsid w:val="008D7BC6"/>
    <w:rsid w:val="008D7E9E"/>
    <w:rsid w:val="008E0608"/>
    <w:rsid w:val="008E0FAF"/>
    <w:rsid w:val="008E2E82"/>
    <w:rsid w:val="008E5B6D"/>
    <w:rsid w:val="008E5C90"/>
    <w:rsid w:val="008F04E0"/>
    <w:rsid w:val="008F475C"/>
    <w:rsid w:val="008F6033"/>
    <w:rsid w:val="008F68DF"/>
    <w:rsid w:val="008F749B"/>
    <w:rsid w:val="00900402"/>
    <w:rsid w:val="00900F1D"/>
    <w:rsid w:val="00903DBA"/>
    <w:rsid w:val="009054BC"/>
    <w:rsid w:val="0091188E"/>
    <w:rsid w:val="0091456E"/>
    <w:rsid w:val="00916FB1"/>
    <w:rsid w:val="00920558"/>
    <w:rsid w:val="00926B30"/>
    <w:rsid w:val="00942392"/>
    <w:rsid w:val="009438D5"/>
    <w:rsid w:val="0094680C"/>
    <w:rsid w:val="00950226"/>
    <w:rsid w:val="0095247B"/>
    <w:rsid w:val="00955C47"/>
    <w:rsid w:val="00963CCE"/>
    <w:rsid w:val="00965039"/>
    <w:rsid w:val="00974ABA"/>
    <w:rsid w:val="0097715A"/>
    <w:rsid w:val="009808DC"/>
    <w:rsid w:val="00982F56"/>
    <w:rsid w:val="0098308E"/>
    <w:rsid w:val="00987D2D"/>
    <w:rsid w:val="009A1079"/>
    <w:rsid w:val="009A178A"/>
    <w:rsid w:val="009A2DCD"/>
    <w:rsid w:val="009A5665"/>
    <w:rsid w:val="009A6076"/>
    <w:rsid w:val="009B176F"/>
    <w:rsid w:val="009B269B"/>
    <w:rsid w:val="009B417A"/>
    <w:rsid w:val="009B5538"/>
    <w:rsid w:val="009B7C1D"/>
    <w:rsid w:val="009C0678"/>
    <w:rsid w:val="009C6492"/>
    <w:rsid w:val="009C733C"/>
    <w:rsid w:val="009C7C36"/>
    <w:rsid w:val="009D0E68"/>
    <w:rsid w:val="009D4016"/>
    <w:rsid w:val="009D40C1"/>
    <w:rsid w:val="009E4F32"/>
    <w:rsid w:val="009E73AD"/>
    <w:rsid w:val="009F15C9"/>
    <w:rsid w:val="009F48B2"/>
    <w:rsid w:val="009F794D"/>
    <w:rsid w:val="00A0500B"/>
    <w:rsid w:val="00A06187"/>
    <w:rsid w:val="00A2191F"/>
    <w:rsid w:val="00A231A9"/>
    <w:rsid w:val="00A2544A"/>
    <w:rsid w:val="00A261C7"/>
    <w:rsid w:val="00A3198D"/>
    <w:rsid w:val="00A34D4B"/>
    <w:rsid w:val="00A36CF6"/>
    <w:rsid w:val="00A453E0"/>
    <w:rsid w:val="00A46DD3"/>
    <w:rsid w:val="00A479C1"/>
    <w:rsid w:val="00A5472E"/>
    <w:rsid w:val="00A55F33"/>
    <w:rsid w:val="00A56938"/>
    <w:rsid w:val="00A56C8D"/>
    <w:rsid w:val="00A573B4"/>
    <w:rsid w:val="00A621BF"/>
    <w:rsid w:val="00A66023"/>
    <w:rsid w:val="00A72B40"/>
    <w:rsid w:val="00A75ABE"/>
    <w:rsid w:val="00A76C52"/>
    <w:rsid w:val="00A76E2C"/>
    <w:rsid w:val="00A8106F"/>
    <w:rsid w:val="00A81F81"/>
    <w:rsid w:val="00A825BE"/>
    <w:rsid w:val="00A851A8"/>
    <w:rsid w:val="00A852DF"/>
    <w:rsid w:val="00A87334"/>
    <w:rsid w:val="00A921BC"/>
    <w:rsid w:val="00A945D3"/>
    <w:rsid w:val="00AA0E3A"/>
    <w:rsid w:val="00AA16F7"/>
    <w:rsid w:val="00AA3015"/>
    <w:rsid w:val="00AA76AE"/>
    <w:rsid w:val="00AA7A0C"/>
    <w:rsid w:val="00AB3E44"/>
    <w:rsid w:val="00AC027A"/>
    <w:rsid w:val="00AC242D"/>
    <w:rsid w:val="00AC316E"/>
    <w:rsid w:val="00AC378E"/>
    <w:rsid w:val="00AC3AFC"/>
    <w:rsid w:val="00AC4982"/>
    <w:rsid w:val="00AC5E1A"/>
    <w:rsid w:val="00AC72F0"/>
    <w:rsid w:val="00AD1900"/>
    <w:rsid w:val="00AD1EA9"/>
    <w:rsid w:val="00AD53A2"/>
    <w:rsid w:val="00AD558E"/>
    <w:rsid w:val="00AE0407"/>
    <w:rsid w:val="00AE159F"/>
    <w:rsid w:val="00AE5F73"/>
    <w:rsid w:val="00AE6416"/>
    <w:rsid w:val="00AE72E0"/>
    <w:rsid w:val="00AF27E9"/>
    <w:rsid w:val="00AF608E"/>
    <w:rsid w:val="00AF7891"/>
    <w:rsid w:val="00AF7CC9"/>
    <w:rsid w:val="00B01BC6"/>
    <w:rsid w:val="00B055BB"/>
    <w:rsid w:val="00B056D7"/>
    <w:rsid w:val="00B13FC0"/>
    <w:rsid w:val="00B165BE"/>
    <w:rsid w:val="00B16D58"/>
    <w:rsid w:val="00B22780"/>
    <w:rsid w:val="00B25967"/>
    <w:rsid w:val="00B30805"/>
    <w:rsid w:val="00B32712"/>
    <w:rsid w:val="00B400A7"/>
    <w:rsid w:val="00B50E7F"/>
    <w:rsid w:val="00B57D86"/>
    <w:rsid w:val="00B65AB5"/>
    <w:rsid w:val="00B66309"/>
    <w:rsid w:val="00B73756"/>
    <w:rsid w:val="00B80E7F"/>
    <w:rsid w:val="00B83659"/>
    <w:rsid w:val="00B863C3"/>
    <w:rsid w:val="00B8762B"/>
    <w:rsid w:val="00B87A7F"/>
    <w:rsid w:val="00B902E8"/>
    <w:rsid w:val="00B92E83"/>
    <w:rsid w:val="00B93249"/>
    <w:rsid w:val="00BA0839"/>
    <w:rsid w:val="00BA15AE"/>
    <w:rsid w:val="00BA65C7"/>
    <w:rsid w:val="00BB17B3"/>
    <w:rsid w:val="00BB709F"/>
    <w:rsid w:val="00BC14B5"/>
    <w:rsid w:val="00BC6372"/>
    <w:rsid w:val="00BD0E7B"/>
    <w:rsid w:val="00BD119C"/>
    <w:rsid w:val="00BD7472"/>
    <w:rsid w:val="00BE07F4"/>
    <w:rsid w:val="00BE26D3"/>
    <w:rsid w:val="00BE2C48"/>
    <w:rsid w:val="00BE2F82"/>
    <w:rsid w:val="00BE54C8"/>
    <w:rsid w:val="00BF0F3C"/>
    <w:rsid w:val="00BF4EC4"/>
    <w:rsid w:val="00BF6A59"/>
    <w:rsid w:val="00BF73B9"/>
    <w:rsid w:val="00C02177"/>
    <w:rsid w:val="00C07C20"/>
    <w:rsid w:val="00C204A9"/>
    <w:rsid w:val="00C213C4"/>
    <w:rsid w:val="00C23A92"/>
    <w:rsid w:val="00C23D3D"/>
    <w:rsid w:val="00C24AF2"/>
    <w:rsid w:val="00C26E58"/>
    <w:rsid w:val="00C306EB"/>
    <w:rsid w:val="00C359AA"/>
    <w:rsid w:val="00C429B0"/>
    <w:rsid w:val="00C42C24"/>
    <w:rsid w:val="00C4418F"/>
    <w:rsid w:val="00C5010E"/>
    <w:rsid w:val="00C5397F"/>
    <w:rsid w:val="00C6309A"/>
    <w:rsid w:val="00C7078C"/>
    <w:rsid w:val="00C71E1D"/>
    <w:rsid w:val="00C7405B"/>
    <w:rsid w:val="00C7418E"/>
    <w:rsid w:val="00C74562"/>
    <w:rsid w:val="00C762EB"/>
    <w:rsid w:val="00C771C5"/>
    <w:rsid w:val="00C77469"/>
    <w:rsid w:val="00C804E9"/>
    <w:rsid w:val="00CA63B6"/>
    <w:rsid w:val="00CA72D0"/>
    <w:rsid w:val="00CB56CA"/>
    <w:rsid w:val="00CC24B6"/>
    <w:rsid w:val="00CD3D84"/>
    <w:rsid w:val="00CD3E5D"/>
    <w:rsid w:val="00CD4C21"/>
    <w:rsid w:val="00CD714B"/>
    <w:rsid w:val="00CE0794"/>
    <w:rsid w:val="00CE15F9"/>
    <w:rsid w:val="00CE4295"/>
    <w:rsid w:val="00CE69F8"/>
    <w:rsid w:val="00CF01B4"/>
    <w:rsid w:val="00CF1075"/>
    <w:rsid w:val="00CF17A9"/>
    <w:rsid w:val="00CF1A46"/>
    <w:rsid w:val="00CF218C"/>
    <w:rsid w:val="00CF3843"/>
    <w:rsid w:val="00CF5012"/>
    <w:rsid w:val="00CF7E88"/>
    <w:rsid w:val="00D02AFA"/>
    <w:rsid w:val="00D02E84"/>
    <w:rsid w:val="00D03B6D"/>
    <w:rsid w:val="00D14DA1"/>
    <w:rsid w:val="00D16563"/>
    <w:rsid w:val="00D20333"/>
    <w:rsid w:val="00D27566"/>
    <w:rsid w:val="00D30AEE"/>
    <w:rsid w:val="00D316BF"/>
    <w:rsid w:val="00D3478F"/>
    <w:rsid w:val="00D35139"/>
    <w:rsid w:val="00D35E85"/>
    <w:rsid w:val="00D37859"/>
    <w:rsid w:val="00D465A9"/>
    <w:rsid w:val="00D47897"/>
    <w:rsid w:val="00D51343"/>
    <w:rsid w:val="00D52751"/>
    <w:rsid w:val="00D53F86"/>
    <w:rsid w:val="00D54AA5"/>
    <w:rsid w:val="00D55C7E"/>
    <w:rsid w:val="00D57715"/>
    <w:rsid w:val="00D57D51"/>
    <w:rsid w:val="00D631F2"/>
    <w:rsid w:val="00D6780F"/>
    <w:rsid w:val="00D72EBB"/>
    <w:rsid w:val="00D72ECA"/>
    <w:rsid w:val="00D7442B"/>
    <w:rsid w:val="00D75CB0"/>
    <w:rsid w:val="00D76720"/>
    <w:rsid w:val="00D772A3"/>
    <w:rsid w:val="00D80EFB"/>
    <w:rsid w:val="00D845EE"/>
    <w:rsid w:val="00D877EF"/>
    <w:rsid w:val="00D9545E"/>
    <w:rsid w:val="00D97143"/>
    <w:rsid w:val="00DA4AB8"/>
    <w:rsid w:val="00DB09F4"/>
    <w:rsid w:val="00DB4DF4"/>
    <w:rsid w:val="00DB627D"/>
    <w:rsid w:val="00DC543A"/>
    <w:rsid w:val="00DD00FE"/>
    <w:rsid w:val="00DD375D"/>
    <w:rsid w:val="00DE11C4"/>
    <w:rsid w:val="00DE4C08"/>
    <w:rsid w:val="00DE5C8C"/>
    <w:rsid w:val="00DE7EA1"/>
    <w:rsid w:val="00DF2DF1"/>
    <w:rsid w:val="00E046BB"/>
    <w:rsid w:val="00E077CF"/>
    <w:rsid w:val="00E1048F"/>
    <w:rsid w:val="00E15A68"/>
    <w:rsid w:val="00E223BF"/>
    <w:rsid w:val="00E25773"/>
    <w:rsid w:val="00E26C7D"/>
    <w:rsid w:val="00E3137B"/>
    <w:rsid w:val="00E31B39"/>
    <w:rsid w:val="00E33BF2"/>
    <w:rsid w:val="00E33C6E"/>
    <w:rsid w:val="00E366AD"/>
    <w:rsid w:val="00E368E2"/>
    <w:rsid w:val="00E379F9"/>
    <w:rsid w:val="00E41C1D"/>
    <w:rsid w:val="00E52105"/>
    <w:rsid w:val="00E54BE7"/>
    <w:rsid w:val="00E56ED2"/>
    <w:rsid w:val="00E6121A"/>
    <w:rsid w:val="00E633A6"/>
    <w:rsid w:val="00E63842"/>
    <w:rsid w:val="00E64CC1"/>
    <w:rsid w:val="00E65238"/>
    <w:rsid w:val="00E66E71"/>
    <w:rsid w:val="00E73F3F"/>
    <w:rsid w:val="00E7522D"/>
    <w:rsid w:val="00E7684D"/>
    <w:rsid w:val="00E80100"/>
    <w:rsid w:val="00E80144"/>
    <w:rsid w:val="00E806FC"/>
    <w:rsid w:val="00E80C4D"/>
    <w:rsid w:val="00E82FDD"/>
    <w:rsid w:val="00E84DFD"/>
    <w:rsid w:val="00E91AEB"/>
    <w:rsid w:val="00EA0C66"/>
    <w:rsid w:val="00EA1668"/>
    <w:rsid w:val="00EA1BDA"/>
    <w:rsid w:val="00EA1DF9"/>
    <w:rsid w:val="00EA44A0"/>
    <w:rsid w:val="00EA6765"/>
    <w:rsid w:val="00EB0FD4"/>
    <w:rsid w:val="00EB5AD6"/>
    <w:rsid w:val="00EC1063"/>
    <w:rsid w:val="00EC310E"/>
    <w:rsid w:val="00ED061C"/>
    <w:rsid w:val="00ED2C39"/>
    <w:rsid w:val="00ED53D8"/>
    <w:rsid w:val="00ED62D1"/>
    <w:rsid w:val="00EE3595"/>
    <w:rsid w:val="00EE482B"/>
    <w:rsid w:val="00EE48AE"/>
    <w:rsid w:val="00EE595C"/>
    <w:rsid w:val="00EE59DC"/>
    <w:rsid w:val="00EE5B6D"/>
    <w:rsid w:val="00EE5FDC"/>
    <w:rsid w:val="00EE6848"/>
    <w:rsid w:val="00EE70D4"/>
    <w:rsid w:val="00EF125D"/>
    <w:rsid w:val="00EF29B1"/>
    <w:rsid w:val="00EF57F9"/>
    <w:rsid w:val="00F000E8"/>
    <w:rsid w:val="00F017BB"/>
    <w:rsid w:val="00F019B1"/>
    <w:rsid w:val="00F03012"/>
    <w:rsid w:val="00F04C8B"/>
    <w:rsid w:val="00F06C5F"/>
    <w:rsid w:val="00F114AB"/>
    <w:rsid w:val="00F144BE"/>
    <w:rsid w:val="00F16364"/>
    <w:rsid w:val="00F163C0"/>
    <w:rsid w:val="00F208C8"/>
    <w:rsid w:val="00F21993"/>
    <w:rsid w:val="00F2227E"/>
    <w:rsid w:val="00F241BD"/>
    <w:rsid w:val="00F258D0"/>
    <w:rsid w:val="00F27391"/>
    <w:rsid w:val="00F30409"/>
    <w:rsid w:val="00F30C06"/>
    <w:rsid w:val="00F30F4E"/>
    <w:rsid w:val="00F31FF0"/>
    <w:rsid w:val="00F357CE"/>
    <w:rsid w:val="00F44F75"/>
    <w:rsid w:val="00F51213"/>
    <w:rsid w:val="00F564AC"/>
    <w:rsid w:val="00F56995"/>
    <w:rsid w:val="00F574C1"/>
    <w:rsid w:val="00F677F0"/>
    <w:rsid w:val="00F67943"/>
    <w:rsid w:val="00F67DBC"/>
    <w:rsid w:val="00F704AE"/>
    <w:rsid w:val="00F77E62"/>
    <w:rsid w:val="00F80A92"/>
    <w:rsid w:val="00F823BB"/>
    <w:rsid w:val="00F85B6F"/>
    <w:rsid w:val="00F904A7"/>
    <w:rsid w:val="00F94720"/>
    <w:rsid w:val="00F9508F"/>
    <w:rsid w:val="00F9769C"/>
    <w:rsid w:val="00FA0174"/>
    <w:rsid w:val="00FA1789"/>
    <w:rsid w:val="00FA1939"/>
    <w:rsid w:val="00FA2207"/>
    <w:rsid w:val="00FA4B3D"/>
    <w:rsid w:val="00FA5808"/>
    <w:rsid w:val="00FA7BF4"/>
    <w:rsid w:val="00FB022A"/>
    <w:rsid w:val="00FB092C"/>
    <w:rsid w:val="00FB5251"/>
    <w:rsid w:val="00FB6169"/>
    <w:rsid w:val="00FB7682"/>
    <w:rsid w:val="00FB7933"/>
    <w:rsid w:val="00FC0528"/>
    <w:rsid w:val="00FC1982"/>
    <w:rsid w:val="00FC2441"/>
    <w:rsid w:val="00FC3C5B"/>
    <w:rsid w:val="00FC4381"/>
    <w:rsid w:val="00FC4741"/>
    <w:rsid w:val="00FC4CE0"/>
    <w:rsid w:val="00FC5554"/>
    <w:rsid w:val="00FC64CC"/>
    <w:rsid w:val="00FE06F1"/>
    <w:rsid w:val="00FE120D"/>
    <w:rsid w:val="00FE7D2B"/>
    <w:rsid w:val="00FF1E9A"/>
    <w:rsid w:val="00FF2A44"/>
    <w:rsid w:val="00FF38D1"/>
    <w:rsid w:val="00FF4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7EB00"/>
  <w15:chartTrackingRefBased/>
  <w15:docId w15:val="{69E4AA8F-023E-433D-A495-946DED553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pBdr>
        <w:bottom w:val="single" w:sz="12" w:space="6" w:color="1F3864"/>
      </w:pBdr>
      <w:spacing w:after="100" w:afterAutospacing="1"/>
      <w:outlineLvl w:val="0"/>
    </w:pPr>
    <w:rPr>
      <w:b/>
      <w:bCs/>
      <w:color w:val="1F3864"/>
      <w:kern w:val="36"/>
      <w:sz w:val="40"/>
      <w:szCs w:val="40"/>
    </w:rPr>
  </w:style>
  <w:style w:type="paragraph" w:styleId="Heading2">
    <w:name w:val="heading 2"/>
    <w:basedOn w:val="Normal"/>
    <w:link w:val="Heading2Char"/>
    <w:uiPriority w:val="9"/>
    <w:qFormat/>
    <w:pPr>
      <w:keepNext/>
      <w:shd w:val="clear" w:color="auto" w:fill="DCE6F1"/>
      <w:spacing w:before="420" w:after="150"/>
      <w:outlineLvl w:val="1"/>
    </w:pPr>
    <w:rPr>
      <w:b/>
      <w:bCs/>
      <w:color w:val="1F3864"/>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customStyle="1" w:styleId="msonormal0">
    <w:name w:val="msonormal"/>
    <w:basedOn w:val="Normal"/>
    <w:pPr>
      <w:spacing w:before="60" w:after="60"/>
    </w:pPr>
  </w:style>
  <w:style w:type="paragraph" w:styleId="NormalWeb">
    <w:name w:val="Normal (Web)"/>
    <w:basedOn w:val="Normal"/>
    <w:uiPriority w:val="99"/>
    <w:semiHidden/>
    <w:unhideWhenUsed/>
    <w:pPr>
      <w:spacing w:before="60" w:after="60"/>
    </w:pPr>
  </w:style>
  <w:style w:type="paragraph" w:customStyle="1" w:styleId="qa-block">
    <w:name w:val="qa-block"/>
    <w:basedOn w:val="Normal"/>
    <w:pPr>
      <w:spacing w:before="100" w:beforeAutospacing="1" w:after="240"/>
    </w:pPr>
  </w:style>
  <w:style w:type="paragraph" w:customStyle="1" w:styleId="q-num">
    <w:name w:val="q-num"/>
    <w:basedOn w:val="Normal"/>
    <w:pPr>
      <w:spacing w:before="100" w:beforeAutospacing="1" w:after="100" w:afterAutospacing="1"/>
    </w:pPr>
    <w:rPr>
      <w:b/>
      <w:bCs/>
      <w:color w:val="1F3864"/>
    </w:rPr>
  </w:style>
  <w:style w:type="paragraph" w:customStyle="1" w:styleId="q-text">
    <w:name w:val="q-text"/>
    <w:basedOn w:val="Normal"/>
    <w:pPr>
      <w:spacing w:before="100" w:beforeAutospacing="1" w:after="60"/>
    </w:pPr>
    <w:rPr>
      <w:b/>
      <w:bCs/>
    </w:rPr>
  </w:style>
  <w:style w:type="paragraph" w:customStyle="1" w:styleId="a-text">
    <w:name w:val="a-text"/>
    <w:basedOn w:val="Normal"/>
    <w:pPr>
      <w:spacing w:before="60" w:after="100" w:afterAutospacing="1"/>
      <w:ind w:left="270"/>
    </w:pPr>
  </w:style>
  <w:style w:type="paragraph" w:customStyle="1" w:styleId="a-label">
    <w:name w:val="a-label"/>
    <w:basedOn w:val="Normal"/>
    <w:pPr>
      <w:spacing w:before="100" w:beforeAutospacing="1" w:after="100" w:afterAutospacing="1"/>
    </w:pPr>
    <w:rPr>
      <w:b/>
      <w:bCs/>
      <w:i/>
      <w:iCs/>
      <w:color w:val="444444"/>
    </w:rPr>
  </w:style>
  <w:style w:type="paragraph" w:customStyle="1" w:styleId="toc">
    <w:name w:val="toc"/>
    <w:basedOn w:val="Normal"/>
    <w:pPr>
      <w:pBdr>
        <w:top w:val="single" w:sz="6" w:space="11" w:color="CCCCCC"/>
        <w:left w:val="single" w:sz="6" w:space="14" w:color="CCCCCC"/>
        <w:bottom w:val="single" w:sz="6" w:space="11" w:color="CCCCCC"/>
        <w:right w:val="single" w:sz="6" w:space="14" w:color="CCCCCC"/>
      </w:pBdr>
      <w:shd w:val="clear" w:color="auto" w:fill="F2F2F2"/>
      <w:spacing w:before="100" w:beforeAutospacing="1" w:after="360"/>
    </w:pPr>
  </w:style>
  <w:style w:type="paragraph" w:customStyle="1" w:styleId="note-box">
    <w:name w:val="note-box"/>
    <w:basedOn w:val="Normal"/>
    <w:pPr>
      <w:pBdr>
        <w:top w:val="single" w:sz="6" w:space="8" w:color="D6B656"/>
        <w:left w:val="single" w:sz="6" w:space="11" w:color="D6B656"/>
        <w:bottom w:val="single" w:sz="6" w:space="8" w:color="D6B656"/>
        <w:right w:val="single" w:sz="6" w:space="11" w:color="D6B656"/>
      </w:pBdr>
      <w:shd w:val="clear" w:color="auto" w:fill="FFF2CC"/>
      <w:spacing w:before="240" w:after="240"/>
    </w:pPr>
    <w:rPr>
      <w:sz w:val="20"/>
      <w:szCs w:val="20"/>
    </w:rPr>
  </w:style>
  <w:style w:type="paragraph" w:customStyle="1" w:styleId="divider">
    <w:name w:val="divider"/>
    <w:basedOn w:val="Normal"/>
    <w:pPr>
      <w:pBdr>
        <w:top w:val="single" w:sz="6" w:space="0" w:color="CCCCCC"/>
      </w:pBdr>
      <w:spacing w:before="300" w:after="300"/>
    </w:p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q-num1">
    <w:name w:val="q-num1"/>
    <w:basedOn w:val="DefaultParagraphFont"/>
    <w:rPr>
      <w:b/>
      <w:bCs/>
      <w:color w:val="1F3864"/>
    </w:rPr>
  </w:style>
  <w:style w:type="character" w:customStyle="1" w:styleId="a-label1">
    <w:name w:val="a-label1"/>
    <w:basedOn w:val="DefaultParagraphFont"/>
    <w:rPr>
      <w:b/>
      <w:bCs/>
      <w:i/>
      <w:iCs/>
      <w:color w:val="444444"/>
    </w:rPr>
  </w:style>
  <w:style w:type="paragraph" w:styleId="Revision">
    <w:name w:val="Revision"/>
    <w:hidden/>
    <w:uiPriority w:val="99"/>
    <w:semiHidden/>
    <w:rsid w:val="00E64CC1"/>
    <w:rPr>
      <w:rFonts w:eastAsiaTheme="minorEastAsia"/>
      <w:sz w:val="24"/>
      <w:szCs w:val="24"/>
    </w:rPr>
  </w:style>
  <w:style w:type="paragraph" w:styleId="NoSpacing">
    <w:name w:val="No Spacing"/>
    <w:uiPriority w:val="1"/>
    <w:qFormat/>
    <w:rsid w:val="001477E7"/>
    <w:rPr>
      <w:rFonts w:eastAsiaTheme="minorEastAsia"/>
      <w:sz w:val="24"/>
      <w:szCs w:val="24"/>
    </w:rPr>
  </w:style>
  <w:style w:type="character" w:styleId="Hyperlink">
    <w:name w:val="Hyperlink"/>
    <w:basedOn w:val="DefaultParagraphFont"/>
    <w:uiPriority w:val="99"/>
    <w:unhideWhenUsed/>
    <w:rsid w:val="001477E7"/>
    <w:rPr>
      <w:color w:val="467886" w:themeColor="hyperlink"/>
      <w:u w:val="single"/>
    </w:rPr>
  </w:style>
  <w:style w:type="character" w:styleId="UnresolvedMention">
    <w:name w:val="Unresolved Mention"/>
    <w:basedOn w:val="DefaultParagraphFont"/>
    <w:uiPriority w:val="99"/>
    <w:semiHidden/>
    <w:unhideWhenUsed/>
    <w:rsid w:val="001477E7"/>
    <w:rPr>
      <w:color w:val="605E5C"/>
      <w:shd w:val="clear" w:color="auto" w:fill="E1DFDD"/>
    </w:rPr>
  </w:style>
  <w:style w:type="character" w:styleId="CommentReference">
    <w:name w:val="annotation reference"/>
    <w:basedOn w:val="DefaultParagraphFont"/>
    <w:uiPriority w:val="99"/>
    <w:semiHidden/>
    <w:unhideWhenUsed/>
    <w:rsid w:val="0008560B"/>
    <w:rPr>
      <w:sz w:val="16"/>
      <w:szCs w:val="16"/>
    </w:rPr>
  </w:style>
  <w:style w:type="paragraph" w:styleId="CommentText">
    <w:name w:val="annotation text"/>
    <w:basedOn w:val="Normal"/>
    <w:link w:val="CommentTextChar"/>
    <w:uiPriority w:val="99"/>
    <w:unhideWhenUsed/>
    <w:rsid w:val="0008560B"/>
    <w:rPr>
      <w:sz w:val="20"/>
      <w:szCs w:val="20"/>
    </w:rPr>
  </w:style>
  <w:style w:type="character" w:customStyle="1" w:styleId="CommentTextChar">
    <w:name w:val="Comment Text Char"/>
    <w:basedOn w:val="DefaultParagraphFont"/>
    <w:link w:val="CommentText"/>
    <w:uiPriority w:val="99"/>
    <w:rsid w:val="0008560B"/>
    <w:rPr>
      <w:rFonts w:eastAsiaTheme="minorEastAsia"/>
    </w:rPr>
  </w:style>
  <w:style w:type="paragraph" w:styleId="CommentSubject">
    <w:name w:val="annotation subject"/>
    <w:basedOn w:val="CommentText"/>
    <w:next w:val="CommentText"/>
    <w:link w:val="CommentSubjectChar"/>
    <w:uiPriority w:val="99"/>
    <w:semiHidden/>
    <w:unhideWhenUsed/>
    <w:rsid w:val="0008560B"/>
    <w:rPr>
      <w:b/>
      <w:bCs/>
    </w:rPr>
  </w:style>
  <w:style w:type="character" w:customStyle="1" w:styleId="CommentSubjectChar">
    <w:name w:val="Comment Subject Char"/>
    <w:basedOn w:val="CommentTextChar"/>
    <w:link w:val="CommentSubject"/>
    <w:uiPriority w:val="99"/>
    <w:semiHidden/>
    <w:rsid w:val="0008560B"/>
    <w:rPr>
      <w:rFonts w:eastAsiaTheme="minorEastAs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7092">
      <w:marLeft w:val="0"/>
      <w:marRight w:val="0"/>
      <w:marTop w:val="0"/>
      <w:marBottom w:val="240"/>
      <w:divBdr>
        <w:top w:val="none" w:sz="0" w:space="0" w:color="auto"/>
        <w:left w:val="none" w:sz="0" w:space="0" w:color="auto"/>
        <w:bottom w:val="none" w:sz="0" w:space="0" w:color="auto"/>
        <w:right w:val="none" w:sz="0" w:space="0" w:color="auto"/>
      </w:divBdr>
    </w:div>
    <w:div w:id="38628274">
      <w:marLeft w:val="0"/>
      <w:marRight w:val="0"/>
      <w:marTop w:val="0"/>
      <w:marBottom w:val="240"/>
      <w:divBdr>
        <w:top w:val="none" w:sz="0" w:space="0" w:color="auto"/>
        <w:left w:val="none" w:sz="0" w:space="0" w:color="auto"/>
        <w:bottom w:val="none" w:sz="0" w:space="0" w:color="auto"/>
        <w:right w:val="none" w:sz="0" w:space="0" w:color="auto"/>
      </w:divBdr>
    </w:div>
    <w:div w:id="50007571">
      <w:marLeft w:val="0"/>
      <w:marRight w:val="0"/>
      <w:marTop w:val="0"/>
      <w:marBottom w:val="240"/>
      <w:divBdr>
        <w:top w:val="none" w:sz="0" w:space="0" w:color="auto"/>
        <w:left w:val="none" w:sz="0" w:space="0" w:color="auto"/>
        <w:bottom w:val="none" w:sz="0" w:space="0" w:color="auto"/>
        <w:right w:val="none" w:sz="0" w:space="0" w:color="auto"/>
      </w:divBdr>
    </w:div>
    <w:div w:id="62728576">
      <w:marLeft w:val="0"/>
      <w:marRight w:val="0"/>
      <w:marTop w:val="0"/>
      <w:marBottom w:val="240"/>
      <w:divBdr>
        <w:top w:val="none" w:sz="0" w:space="0" w:color="auto"/>
        <w:left w:val="none" w:sz="0" w:space="0" w:color="auto"/>
        <w:bottom w:val="none" w:sz="0" w:space="0" w:color="auto"/>
        <w:right w:val="none" w:sz="0" w:space="0" w:color="auto"/>
      </w:divBdr>
    </w:div>
    <w:div w:id="75060840">
      <w:marLeft w:val="0"/>
      <w:marRight w:val="0"/>
      <w:marTop w:val="0"/>
      <w:marBottom w:val="240"/>
      <w:divBdr>
        <w:top w:val="none" w:sz="0" w:space="0" w:color="auto"/>
        <w:left w:val="none" w:sz="0" w:space="0" w:color="auto"/>
        <w:bottom w:val="none" w:sz="0" w:space="0" w:color="auto"/>
        <w:right w:val="none" w:sz="0" w:space="0" w:color="auto"/>
      </w:divBdr>
    </w:div>
    <w:div w:id="84301291">
      <w:marLeft w:val="0"/>
      <w:marRight w:val="0"/>
      <w:marTop w:val="0"/>
      <w:marBottom w:val="240"/>
      <w:divBdr>
        <w:top w:val="none" w:sz="0" w:space="0" w:color="auto"/>
        <w:left w:val="none" w:sz="0" w:space="0" w:color="auto"/>
        <w:bottom w:val="none" w:sz="0" w:space="0" w:color="auto"/>
        <w:right w:val="none" w:sz="0" w:space="0" w:color="auto"/>
      </w:divBdr>
    </w:div>
    <w:div w:id="85274415">
      <w:marLeft w:val="0"/>
      <w:marRight w:val="0"/>
      <w:marTop w:val="0"/>
      <w:marBottom w:val="240"/>
      <w:divBdr>
        <w:top w:val="none" w:sz="0" w:space="0" w:color="auto"/>
        <w:left w:val="none" w:sz="0" w:space="0" w:color="auto"/>
        <w:bottom w:val="none" w:sz="0" w:space="0" w:color="auto"/>
        <w:right w:val="none" w:sz="0" w:space="0" w:color="auto"/>
      </w:divBdr>
    </w:div>
    <w:div w:id="90782640">
      <w:marLeft w:val="0"/>
      <w:marRight w:val="0"/>
      <w:marTop w:val="0"/>
      <w:marBottom w:val="240"/>
      <w:divBdr>
        <w:top w:val="none" w:sz="0" w:space="0" w:color="auto"/>
        <w:left w:val="none" w:sz="0" w:space="0" w:color="auto"/>
        <w:bottom w:val="none" w:sz="0" w:space="0" w:color="auto"/>
        <w:right w:val="none" w:sz="0" w:space="0" w:color="auto"/>
      </w:divBdr>
    </w:div>
    <w:div w:id="124937085">
      <w:marLeft w:val="0"/>
      <w:marRight w:val="0"/>
      <w:marTop w:val="0"/>
      <w:marBottom w:val="240"/>
      <w:divBdr>
        <w:top w:val="none" w:sz="0" w:space="0" w:color="auto"/>
        <w:left w:val="none" w:sz="0" w:space="0" w:color="auto"/>
        <w:bottom w:val="none" w:sz="0" w:space="0" w:color="auto"/>
        <w:right w:val="none" w:sz="0" w:space="0" w:color="auto"/>
      </w:divBdr>
    </w:div>
    <w:div w:id="134759946">
      <w:marLeft w:val="0"/>
      <w:marRight w:val="0"/>
      <w:marTop w:val="0"/>
      <w:marBottom w:val="240"/>
      <w:divBdr>
        <w:top w:val="none" w:sz="0" w:space="0" w:color="auto"/>
        <w:left w:val="none" w:sz="0" w:space="0" w:color="auto"/>
        <w:bottom w:val="none" w:sz="0" w:space="0" w:color="auto"/>
        <w:right w:val="none" w:sz="0" w:space="0" w:color="auto"/>
      </w:divBdr>
    </w:div>
    <w:div w:id="146675647">
      <w:marLeft w:val="0"/>
      <w:marRight w:val="0"/>
      <w:marTop w:val="0"/>
      <w:marBottom w:val="240"/>
      <w:divBdr>
        <w:top w:val="none" w:sz="0" w:space="0" w:color="auto"/>
        <w:left w:val="none" w:sz="0" w:space="0" w:color="auto"/>
        <w:bottom w:val="none" w:sz="0" w:space="0" w:color="auto"/>
        <w:right w:val="none" w:sz="0" w:space="0" w:color="auto"/>
      </w:divBdr>
    </w:div>
    <w:div w:id="166671716">
      <w:marLeft w:val="0"/>
      <w:marRight w:val="0"/>
      <w:marTop w:val="0"/>
      <w:marBottom w:val="240"/>
      <w:divBdr>
        <w:top w:val="none" w:sz="0" w:space="0" w:color="auto"/>
        <w:left w:val="none" w:sz="0" w:space="0" w:color="auto"/>
        <w:bottom w:val="none" w:sz="0" w:space="0" w:color="auto"/>
        <w:right w:val="none" w:sz="0" w:space="0" w:color="auto"/>
      </w:divBdr>
    </w:div>
    <w:div w:id="172572040">
      <w:marLeft w:val="0"/>
      <w:marRight w:val="0"/>
      <w:marTop w:val="0"/>
      <w:marBottom w:val="240"/>
      <w:divBdr>
        <w:top w:val="none" w:sz="0" w:space="0" w:color="auto"/>
        <w:left w:val="none" w:sz="0" w:space="0" w:color="auto"/>
        <w:bottom w:val="none" w:sz="0" w:space="0" w:color="auto"/>
        <w:right w:val="none" w:sz="0" w:space="0" w:color="auto"/>
      </w:divBdr>
    </w:div>
    <w:div w:id="177089009">
      <w:marLeft w:val="0"/>
      <w:marRight w:val="0"/>
      <w:marTop w:val="0"/>
      <w:marBottom w:val="240"/>
      <w:divBdr>
        <w:top w:val="none" w:sz="0" w:space="0" w:color="auto"/>
        <w:left w:val="none" w:sz="0" w:space="0" w:color="auto"/>
        <w:bottom w:val="none" w:sz="0" w:space="0" w:color="auto"/>
        <w:right w:val="none" w:sz="0" w:space="0" w:color="auto"/>
      </w:divBdr>
    </w:div>
    <w:div w:id="189340944">
      <w:marLeft w:val="0"/>
      <w:marRight w:val="0"/>
      <w:marTop w:val="0"/>
      <w:marBottom w:val="240"/>
      <w:divBdr>
        <w:top w:val="none" w:sz="0" w:space="0" w:color="auto"/>
        <w:left w:val="none" w:sz="0" w:space="0" w:color="auto"/>
        <w:bottom w:val="none" w:sz="0" w:space="0" w:color="auto"/>
        <w:right w:val="none" w:sz="0" w:space="0" w:color="auto"/>
      </w:divBdr>
    </w:div>
    <w:div w:id="195584598">
      <w:marLeft w:val="0"/>
      <w:marRight w:val="0"/>
      <w:marTop w:val="0"/>
      <w:marBottom w:val="240"/>
      <w:divBdr>
        <w:top w:val="none" w:sz="0" w:space="0" w:color="auto"/>
        <w:left w:val="none" w:sz="0" w:space="0" w:color="auto"/>
        <w:bottom w:val="none" w:sz="0" w:space="0" w:color="auto"/>
        <w:right w:val="none" w:sz="0" w:space="0" w:color="auto"/>
      </w:divBdr>
    </w:div>
    <w:div w:id="203835742">
      <w:marLeft w:val="0"/>
      <w:marRight w:val="0"/>
      <w:marTop w:val="0"/>
      <w:marBottom w:val="240"/>
      <w:divBdr>
        <w:top w:val="none" w:sz="0" w:space="0" w:color="auto"/>
        <w:left w:val="none" w:sz="0" w:space="0" w:color="auto"/>
        <w:bottom w:val="none" w:sz="0" w:space="0" w:color="auto"/>
        <w:right w:val="none" w:sz="0" w:space="0" w:color="auto"/>
      </w:divBdr>
    </w:div>
    <w:div w:id="213657431">
      <w:marLeft w:val="0"/>
      <w:marRight w:val="0"/>
      <w:marTop w:val="0"/>
      <w:marBottom w:val="240"/>
      <w:divBdr>
        <w:top w:val="none" w:sz="0" w:space="0" w:color="auto"/>
        <w:left w:val="none" w:sz="0" w:space="0" w:color="auto"/>
        <w:bottom w:val="none" w:sz="0" w:space="0" w:color="auto"/>
        <w:right w:val="none" w:sz="0" w:space="0" w:color="auto"/>
      </w:divBdr>
    </w:div>
    <w:div w:id="220600426">
      <w:marLeft w:val="0"/>
      <w:marRight w:val="0"/>
      <w:marTop w:val="0"/>
      <w:marBottom w:val="240"/>
      <w:divBdr>
        <w:top w:val="none" w:sz="0" w:space="0" w:color="auto"/>
        <w:left w:val="none" w:sz="0" w:space="0" w:color="auto"/>
        <w:bottom w:val="none" w:sz="0" w:space="0" w:color="auto"/>
        <w:right w:val="none" w:sz="0" w:space="0" w:color="auto"/>
      </w:divBdr>
    </w:div>
    <w:div w:id="223219213">
      <w:marLeft w:val="0"/>
      <w:marRight w:val="0"/>
      <w:marTop w:val="0"/>
      <w:marBottom w:val="240"/>
      <w:divBdr>
        <w:top w:val="none" w:sz="0" w:space="0" w:color="auto"/>
        <w:left w:val="none" w:sz="0" w:space="0" w:color="auto"/>
        <w:bottom w:val="none" w:sz="0" w:space="0" w:color="auto"/>
        <w:right w:val="none" w:sz="0" w:space="0" w:color="auto"/>
      </w:divBdr>
    </w:div>
    <w:div w:id="232160655">
      <w:marLeft w:val="0"/>
      <w:marRight w:val="0"/>
      <w:marTop w:val="0"/>
      <w:marBottom w:val="240"/>
      <w:divBdr>
        <w:top w:val="none" w:sz="0" w:space="0" w:color="auto"/>
        <w:left w:val="none" w:sz="0" w:space="0" w:color="auto"/>
        <w:bottom w:val="none" w:sz="0" w:space="0" w:color="auto"/>
        <w:right w:val="none" w:sz="0" w:space="0" w:color="auto"/>
      </w:divBdr>
    </w:div>
    <w:div w:id="238952829">
      <w:marLeft w:val="0"/>
      <w:marRight w:val="0"/>
      <w:marTop w:val="0"/>
      <w:marBottom w:val="240"/>
      <w:divBdr>
        <w:top w:val="none" w:sz="0" w:space="0" w:color="auto"/>
        <w:left w:val="none" w:sz="0" w:space="0" w:color="auto"/>
        <w:bottom w:val="none" w:sz="0" w:space="0" w:color="auto"/>
        <w:right w:val="none" w:sz="0" w:space="0" w:color="auto"/>
      </w:divBdr>
    </w:div>
    <w:div w:id="252326380">
      <w:marLeft w:val="0"/>
      <w:marRight w:val="0"/>
      <w:marTop w:val="0"/>
      <w:marBottom w:val="240"/>
      <w:divBdr>
        <w:top w:val="none" w:sz="0" w:space="0" w:color="auto"/>
        <w:left w:val="none" w:sz="0" w:space="0" w:color="auto"/>
        <w:bottom w:val="none" w:sz="0" w:space="0" w:color="auto"/>
        <w:right w:val="none" w:sz="0" w:space="0" w:color="auto"/>
      </w:divBdr>
    </w:div>
    <w:div w:id="258299517">
      <w:marLeft w:val="0"/>
      <w:marRight w:val="0"/>
      <w:marTop w:val="0"/>
      <w:marBottom w:val="240"/>
      <w:divBdr>
        <w:top w:val="none" w:sz="0" w:space="0" w:color="auto"/>
        <w:left w:val="none" w:sz="0" w:space="0" w:color="auto"/>
        <w:bottom w:val="none" w:sz="0" w:space="0" w:color="auto"/>
        <w:right w:val="none" w:sz="0" w:space="0" w:color="auto"/>
      </w:divBdr>
    </w:div>
    <w:div w:id="270475616">
      <w:marLeft w:val="0"/>
      <w:marRight w:val="0"/>
      <w:marTop w:val="0"/>
      <w:marBottom w:val="240"/>
      <w:divBdr>
        <w:top w:val="none" w:sz="0" w:space="0" w:color="auto"/>
        <w:left w:val="none" w:sz="0" w:space="0" w:color="auto"/>
        <w:bottom w:val="none" w:sz="0" w:space="0" w:color="auto"/>
        <w:right w:val="none" w:sz="0" w:space="0" w:color="auto"/>
      </w:divBdr>
    </w:div>
    <w:div w:id="280917117">
      <w:marLeft w:val="0"/>
      <w:marRight w:val="0"/>
      <w:marTop w:val="0"/>
      <w:marBottom w:val="240"/>
      <w:divBdr>
        <w:top w:val="none" w:sz="0" w:space="0" w:color="auto"/>
        <w:left w:val="none" w:sz="0" w:space="0" w:color="auto"/>
        <w:bottom w:val="none" w:sz="0" w:space="0" w:color="auto"/>
        <w:right w:val="none" w:sz="0" w:space="0" w:color="auto"/>
      </w:divBdr>
    </w:div>
    <w:div w:id="282659745">
      <w:marLeft w:val="0"/>
      <w:marRight w:val="0"/>
      <w:marTop w:val="0"/>
      <w:marBottom w:val="240"/>
      <w:divBdr>
        <w:top w:val="none" w:sz="0" w:space="0" w:color="auto"/>
        <w:left w:val="none" w:sz="0" w:space="0" w:color="auto"/>
        <w:bottom w:val="none" w:sz="0" w:space="0" w:color="auto"/>
        <w:right w:val="none" w:sz="0" w:space="0" w:color="auto"/>
      </w:divBdr>
    </w:div>
    <w:div w:id="298844680">
      <w:marLeft w:val="0"/>
      <w:marRight w:val="0"/>
      <w:marTop w:val="0"/>
      <w:marBottom w:val="240"/>
      <w:divBdr>
        <w:top w:val="none" w:sz="0" w:space="0" w:color="auto"/>
        <w:left w:val="none" w:sz="0" w:space="0" w:color="auto"/>
        <w:bottom w:val="none" w:sz="0" w:space="0" w:color="auto"/>
        <w:right w:val="none" w:sz="0" w:space="0" w:color="auto"/>
      </w:divBdr>
    </w:div>
    <w:div w:id="319844182">
      <w:marLeft w:val="0"/>
      <w:marRight w:val="0"/>
      <w:marTop w:val="0"/>
      <w:marBottom w:val="240"/>
      <w:divBdr>
        <w:top w:val="none" w:sz="0" w:space="0" w:color="auto"/>
        <w:left w:val="none" w:sz="0" w:space="0" w:color="auto"/>
        <w:bottom w:val="none" w:sz="0" w:space="0" w:color="auto"/>
        <w:right w:val="none" w:sz="0" w:space="0" w:color="auto"/>
      </w:divBdr>
    </w:div>
    <w:div w:id="345248794">
      <w:marLeft w:val="0"/>
      <w:marRight w:val="0"/>
      <w:marTop w:val="0"/>
      <w:marBottom w:val="240"/>
      <w:divBdr>
        <w:top w:val="none" w:sz="0" w:space="0" w:color="auto"/>
        <w:left w:val="none" w:sz="0" w:space="0" w:color="auto"/>
        <w:bottom w:val="none" w:sz="0" w:space="0" w:color="auto"/>
        <w:right w:val="none" w:sz="0" w:space="0" w:color="auto"/>
      </w:divBdr>
    </w:div>
    <w:div w:id="360012508">
      <w:marLeft w:val="0"/>
      <w:marRight w:val="0"/>
      <w:marTop w:val="240"/>
      <w:marBottom w:val="240"/>
      <w:divBdr>
        <w:top w:val="single" w:sz="6" w:space="8" w:color="D6B656"/>
        <w:left w:val="single" w:sz="6" w:space="11" w:color="D6B656"/>
        <w:bottom w:val="single" w:sz="6" w:space="8" w:color="D6B656"/>
        <w:right w:val="single" w:sz="6" w:space="11" w:color="D6B656"/>
      </w:divBdr>
    </w:div>
    <w:div w:id="363673037">
      <w:marLeft w:val="0"/>
      <w:marRight w:val="0"/>
      <w:marTop w:val="0"/>
      <w:marBottom w:val="240"/>
      <w:divBdr>
        <w:top w:val="none" w:sz="0" w:space="0" w:color="auto"/>
        <w:left w:val="none" w:sz="0" w:space="0" w:color="auto"/>
        <w:bottom w:val="none" w:sz="0" w:space="0" w:color="auto"/>
        <w:right w:val="none" w:sz="0" w:space="0" w:color="auto"/>
      </w:divBdr>
    </w:div>
    <w:div w:id="377705157">
      <w:marLeft w:val="0"/>
      <w:marRight w:val="0"/>
      <w:marTop w:val="0"/>
      <w:marBottom w:val="240"/>
      <w:divBdr>
        <w:top w:val="none" w:sz="0" w:space="0" w:color="auto"/>
        <w:left w:val="none" w:sz="0" w:space="0" w:color="auto"/>
        <w:bottom w:val="none" w:sz="0" w:space="0" w:color="auto"/>
        <w:right w:val="none" w:sz="0" w:space="0" w:color="auto"/>
      </w:divBdr>
    </w:div>
    <w:div w:id="381488556">
      <w:marLeft w:val="0"/>
      <w:marRight w:val="0"/>
      <w:marTop w:val="0"/>
      <w:marBottom w:val="240"/>
      <w:divBdr>
        <w:top w:val="none" w:sz="0" w:space="0" w:color="auto"/>
        <w:left w:val="none" w:sz="0" w:space="0" w:color="auto"/>
        <w:bottom w:val="none" w:sz="0" w:space="0" w:color="auto"/>
        <w:right w:val="none" w:sz="0" w:space="0" w:color="auto"/>
      </w:divBdr>
    </w:div>
    <w:div w:id="386102236">
      <w:marLeft w:val="0"/>
      <w:marRight w:val="0"/>
      <w:marTop w:val="0"/>
      <w:marBottom w:val="240"/>
      <w:divBdr>
        <w:top w:val="none" w:sz="0" w:space="0" w:color="auto"/>
        <w:left w:val="none" w:sz="0" w:space="0" w:color="auto"/>
        <w:bottom w:val="none" w:sz="0" w:space="0" w:color="auto"/>
        <w:right w:val="none" w:sz="0" w:space="0" w:color="auto"/>
      </w:divBdr>
    </w:div>
    <w:div w:id="391075233">
      <w:marLeft w:val="0"/>
      <w:marRight w:val="0"/>
      <w:marTop w:val="0"/>
      <w:marBottom w:val="240"/>
      <w:divBdr>
        <w:top w:val="none" w:sz="0" w:space="0" w:color="auto"/>
        <w:left w:val="none" w:sz="0" w:space="0" w:color="auto"/>
        <w:bottom w:val="none" w:sz="0" w:space="0" w:color="auto"/>
        <w:right w:val="none" w:sz="0" w:space="0" w:color="auto"/>
      </w:divBdr>
    </w:div>
    <w:div w:id="407843588">
      <w:marLeft w:val="0"/>
      <w:marRight w:val="0"/>
      <w:marTop w:val="0"/>
      <w:marBottom w:val="240"/>
      <w:divBdr>
        <w:top w:val="none" w:sz="0" w:space="0" w:color="auto"/>
        <w:left w:val="none" w:sz="0" w:space="0" w:color="auto"/>
        <w:bottom w:val="none" w:sz="0" w:space="0" w:color="auto"/>
        <w:right w:val="none" w:sz="0" w:space="0" w:color="auto"/>
      </w:divBdr>
    </w:div>
    <w:div w:id="424574782">
      <w:marLeft w:val="0"/>
      <w:marRight w:val="0"/>
      <w:marTop w:val="0"/>
      <w:marBottom w:val="240"/>
      <w:divBdr>
        <w:top w:val="none" w:sz="0" w:space="0" w:color="auto"/>
        <w:left w:val="none" w:sz="0" w:space="0" w:color="auto"/>
        <w:bottom w:val="none" w:sz="0" w:space="0" w:color="auto"/>
        <w:right w:val="none" w:sz="0" w:space="0" w:color="auto"/>
      </w:divBdr>
    </w:div>
    <w:div w:id="437799170">
      <w:marLeft w:val="0"/>
      <w:marRight w:val="0"/>
      <w:marTop w:val="0"/>
      <w:marBottom w:val="240"/>
      <w:divBdr>
        <w:top w:val="none" w:sz="0" w:space="0" w:color="auto"/>
        <w:left w:val="none" w:sz="0" w:space="0" w:color="auto"/>
        <w:bottom w:val="none" w:sz="0" w:space="0" w:color="auto"/>
        <w:right w:val="none" w:sz="0" w:space="0" w:color="auto"/>
      </w:divBdr>
    </w:div>
    <w:div w:id="494610595">
      <w:marLeft w:val="0"/>
      <w:marRight w:val="0"/>
      <w:marTop w:val="0"/>
      <w:marBottom w:val="240"/>
      <w:divBdr>
        <w:top w:val="none" w:sz="0" w:space="0" w:color="auto"/>
        <w:left w:val="none" w:sz="0" w:space="0" w:color="auto"/>
        <w:bottom w:val="none" w:sz="0" w:space="0" w:color="auto"/>
        <w:right w:val="none" w:sz="0" w:space="0" w:color="auto"/>
      </w:divBdr>
    </w:div>
    <w:div w:id="494760652">
      <w:marLeft w:val="0"/>
      <w:marRight w:val="0"/>
      <w:marTop w:val="0"/>
      <w:marBottom w:val="240"/>
      <w:divBdr>
        <w:top w:val="none" w:sz="0" w:space="0" w:color="auto"/>
        <w:left w:val="none" w:sz="0" w:space="0" w:color="auto"/>
        <w:bottom w:val="none" w:sz="0" w:space="0" w:color="auto"/>
        <w:right w:val="none" w:sz="0" w:space="0" w:color="auto"/>
      </w:divBdr>
    </w:div>
    <w:div w:id="499200265">
      <w:marLeft w:val="0"/>
      <w:marRight w:val="0"/>
      <w:marTop w:val="0"/>
      <w:marBottom w:val="240"/>
      <w:divBdr>
        <w:top w:val="none" w:sz="0" w:space="0" w:color="auto"/>
        <w:left w:val="none" w:sz="0" w:space="0" w:color="auto"/>
        <w:bottom w:val="none" w:sz="0" w:space="0" w:color="auto"/>
        <w:right w:val="none" w:sz="0" w:space="0" w:color="auto"/>
      </w:divBdr>
    </w:div>
    <w:div w:id="509292806">
      <w:marLeft w:val="0"/>
      <w:marRight w:val="0"/>
      <w:marTop w:val="0"/>
      <w:marBottom w:val="240"/>
      <w:divBdr>
        <w:top w:val="none" w:sz="0" w:space="0" w:color="auto"/>
        <w:left w:val="none" w:sz="0" w:space="0" w:color="auto"/>
        <w:bottom w:val="none" w:sz="0" w:space="0" w:color="auto"/>
        <w:right w:val="none" w:sz="0" w:space="0" w:color="auto"/>
      </w:divBdr>
    </w:div>
    <w:div w:id="521824759">
      <w:marLeft w:val="0"/>
      <w:marRight w:val="0"/>
      <w:marTop w:val="0"/>
      <w:marBottom w:val="240"/>
      <w:divBdr>
        <w:top w:val="none" w:sz="0" w:space="0" w:color="auto"/>
        <w:left w:val="none" w:sz="0" w:space="0" w:color="auto"/>
        <w:bottom w:val="none" w:sz="0" w:space="0" w:color="auto"/>
        <w:right w:val="none" w:sz="0" w:space="0" w:color="auto"/>
      </w:divBdr>
    </w:div>
    <w:div w:id="534779283">
      <w:marLeft w:val="0"/>
      <w:marRight w:val="0"/>
      <w:marTop w:val="0"/>
      <w:marBottom w:val="240"/>
      <w:divBdr>
        <w:top w:val="none" w:sz="0" w:space="0" w:color="auto"/>
        <w:left w:val="none" w:sz="0" w:space="0" w:color="auto"/>
        <w:bottom w:val="none" w:sz="0" w:space="0" w:color="auto"/>
        <w:right w:val="none" w:sz="0" w:space="0" w:color="auto"/>
      </w:divBdr>
    </w:div>
    <w:div w:id="554435122">
      <w:marLeft w:val="0"/>
      <w:marRight w:val="0"/>
      <w:marTop w:val="0"/>
      <w:marBottom w:val="240"/>
      <w:divBdr>
        <w:top w:val="none" w:sz="0" w:space="0" w:color="auto"/>
        <w:left w:val="none" w:sz="0" w:space="0" w:color="auto"/>
        <w:bottom w:val="none" w:sz="0" w:space="0" w:color="auto"/>
        <w:right w:val="none" w:sz="0" w:space="0" w:color="auto"/>
      </w:divBdr>
    </w:div>
    <w:div w:id="587272189">
      <w:marLeft w:val="0"/>
      <w:marRight w:val="0"/>
      <w:marTop w:val="0"/>
      <w:marBottom w:val="240"/>
      <w:divBdr>
        <w:top w:val="none" w:sz="0" w:space="0" w:color="auto"/>
        <w:left w:val="none" w:sz="0" w:space="0" w:color="auto"/>
        <w:bottom w:val="none" w:sz="0" w:space="0" w:color="auto"/>
        <w:right w:val="none" w:sz="0" w:space="0" w:color="auto"/>
      </w:divBdr>
    </w:div>
    <w:div w:id="615063224">
      <w:marLeft w:val="0"/>
      <w:marRight w:val="0"/>
      <w:marTop w:val="0"/>
      <w:marBottom w:val="240"/>
      <w:divBdr>
        <w:top w:val="none" w:sz="0" w:space="0" w:color="auto"/>
        <w:left w:val="none" w:sz="0" w:space="0" w:color="auto"/>
        <w:bottom w:val="none" w:sz="0" w:space="0" w:color="auto"/>
        <w:right w:val="none" w:sz="0" w:space="0" w:color="auto"/>
      </w:divBdr>
    </w:div>
    <w:div w:id="619728685">
      <w:marLeft w:val="0"/>
      <w:marRight w:val="0"/>
      <w:marTop w:val="0"/>
      <w:marBottom w:val="240"/>
      <w:divBdr>
        <w:top w:val="none" w:sz="0" w:space="0" w:color="auto"/>
        <w:left w:val="none" w:sz="0" w:space="0" w:color="auto"/>
        <w:bottom w:val="none" w:sz="0" w:space="0" w:color="auto"/>
        <w:right w:val="none" w:sz="0" w:space="0" w:color="auto"/>
      </w:divBdr>
    </w:div>
    <w:div w:id="635839629">
      <w:marLeft w:val="0"/>
      <w:marRight w:val="0"/>
      <w:marTop w:val="0"/>
      <w:marBottom w:val="240"/>
      <w:divBdr>
        <w:top w:val="none" w:sz="0" w:space="0" w:color="auto"/>
        <w:left w:val="none" w:sz="0" w:space="0" w:color="auto"/>
        <w:bottom w:val="none" w:sz="0" w:space="0" w:color="auto"/>
        <w:right w:val="none" w:sz="0" w:space="0" w:color="auto"/>
      </w:divBdr>
    </w:div>
    <w:div w:id="646129207">
      <w:marLeft w:val="0"/>
      <w:marRight w:val="0"/>
      <w:marTop w:val="0"/>
      <w:marBottom w:val="240"/>
      <w:divBdr>
        <w:top w:val="none" w:sz="0" w:space="0" w:color="auto"/>
        <w:left w:val="none" w:sz="0" w:space="0" w:color="auto"/>
        <w:bottom w:val="none" w:sz="0" w:space="0" w:color="auto"/>
        <w:right w:val="none" w:sz="0" w:space="0" w:color="auto"/>
      </w:divBdr>
    </w:div>
    <w:div w:id="654455592">
      <w:marLeft w:val="0"/>
      <w:marRight w:val="0"/>
      <w:marTop w:val="0"/>
      <w:marBottom w:val="240"/>
      <w:divBdr>
        <w:top w:val="none" w:sz="0" w:space="0" w:color="auto"/>
        <w:left w:val="none" w:sz="0" w:space="0" w:color="auto"/>
        <w:bottom w:val="none" w:sz="0" w:space="0" w:color="auto"/>
        <w:right w:val="none" w:sz="0" w:space="0" w:color="auto"/>
      </w:divBdr>
    </w:div>
    <w:div w:id="661739367">
      <w:marLeft w:val="0"/>
      <w:marRight w:val="0"/>
      <w:marTop w:val="0"/>
      <w:marBottom w:val="240"/>
      <w:divBdr>
        <w:top w:val="none" w:sz="0" w:space="0" w:color="auto"/>
        <w:left w:val="none" w:sz="0" w:space="0" w:color="auto"/>
        <w:bottom w:val="none" w:sz="0" w:space="0" w:color="auto"/>
        <w:right w:val="none" w:sz="0" w:space="0" w:color="auto"/>
      </w:divBdr>
    </w:div>
    <w:div w:id="688412127">
      <w:marLeft w:val="0"/>
      <w:marRight w:val="0"/>
      <w:marTop w:val="0"/>
      <w:marBottom w:val="240"/>
      <w:divBdr>
        <w:top w:val="none" w:sz="0" w:space="0" w:color="auto"/>
        <w:left w:val="none" w:sz="0" w:space="0" w:color="auto"/>
        <w:bottom w:val="none" w:sz="0" w:space="0" w:color="auto"/>
        <w:right w:val="none" w:sz="0" w:space="0" w:color="auto"/>
      </w:divBdr>
    </w:div>
    <w:div w:id="688989289">
      <w:marLeft w:val="0"/>
      <w:marRight w:val="0"/>
      <w:marTop w:val="0"/>
      <w:marBottom w:val="240"/>
      <w:divBdr>
        <w:top w:val="none" w:sz="0" w:space="0" w:color="auto"/>
        <w:left w:val="none" w:sz="0" w:space="0" w:color="auto"/>
        <w:bottom w:val="none" w:sz="0" w:space="0" w:color="auto"/>
        <w:right w:val="none" w:sz="0" w:space="0" w:color="auto"/>
      </w:divBdr>
    </w:div>
    <w:div w:id="705101939">
      <w:marLeft w:val="0"/>
      <w:marRight w:val="0"/>
      <w:marTop w:val="0"/>
      <w:marBottom w:val="240"/>
      <w:divBdr>
        <w:top w:val="none" w:sz="0" w:space="0" w:color="auto"/>
        <w:left w:val="none" w:sz="0" w:space="0" w:color="auto"/>
        <w:bottom w:val="none" w:sz="0" w:space="0" w:color="auto"/>
        <w:right w:val="none" w:sz="0" w:space="0" w:color="auto"/>
      </w:divBdr>
    </w:div>
    <w:div w:id="754744375">
      <w:marLeft w:val="0"/>
      <w:marRight w:val="0"/>
      <w:marTop w:val="0"/>
      <w:marBottom w:val="240"/>
      <w:divBdr>
        <w:top w:val="none" w:sz="0" w:space="0" w:color="auto"/>
        <w:left w:val="none" w:sz="0" w:space="0" w:color="auto"/>
        <w:bottom w:val="none" w:sz="0" w:space="0" w:color="auto"/>
        <w:right w:val="none" w:sz="0" w:space="0" w:color="auto"/>
      </w:divBdr>
    </w:div>
    <w:div w:id="758524511">
      <w:marLeft w:val="0"/>
      <w:marRight w:val="0"/>
      <w:marTop w:val="0"/>
      <w:marBottom w:val="240"/>
      <w:divBdr>
        <w:top w:val="none" w:sz="0" w:space="0" w:color="auto"/>
        <w:left w:val="none" w:sz="0" w:space="0" w:color="auto"/>
        <w:bottom w:val="none" w:sz="0" w:space="0" w:color="auto"/>
        <w:right w:val="none" w:sz="0" w:space="0" w:color="auto"/>
      </w:divBdr>
    </w:div>
    <w:div w:id="797838759">
      <w:marLeft w:val="0"/>
      <w:marRight w:val="0"/>
      <w:marTop w:val="0"/>
      <w:marBottom w:val="240"/>
      <w:divBdr>
        <w:top w:val="none" w:sz="0" w:space="0" w:color="auto"/>
        <w:left w:val="none" w:sz="0" w:space="0" w:color="auto"/>
        <w:bottom w:val="none" w:sz="0" w:space="0" w:color="auto"/>
        <w:right w:val="none" w:sz="0" w:space="0" w:color="auto"/>
      </w:divBdr>
    </w:div>
    <w:div w:id="830757530">
      <w:marLeft w:val="0"/>
      <w:marRight w:val="0"/>
      <w:marTop w:val="0"/>
      <w:marBottom w:val="240"/>
      <w:divBdr>
        <w:top w:val="none" w:sz="0" w:space="0" w:color="auto"/>
        <w:left w:val="none" w:sz="0" w:space="0" w:color="auto"/>
        <w:bottom w:val="none" w:sz="0" w:space="0" w:color="auto"/>
        <w:right w:val="none" w:sz="0" w:space="0" w:color="auto"/>
      </w:divBdr>
    </w:div>
    <w:div w:id="843133021">
      <w:marLeft w:val="0"/>
      <w:marRight w:val="0"/>
      <w:marTop w:val="0"/>
      <w:marBottom w:val="240"/>
      <w:divBdr>
        <w:top w:val="none" w:sz="0" w:space="0" w:color="auto"/>
        <w:left w:val="none" w:sz="0" w:space="0" w:color="auto"/>
        <w:bottom w:val="none" w:sz="0" w:space="0" w:color="auto"/>
        <w:right w:val="none" w:sz="0" w:space="0" w:color="auto"/>
      </w:divBdr>
    </w:div>
    <w:div w:id="843980308">
      <w:marLeft w:val="0"/>
      <w:marRight w:val="0"/>
      <w:marTop w:val="0"/>
      <w:marBottom w:val="240"/>
      <w:divBdr>
        <w:top w:val="none" w:sz="0" w:space="0" w:color="auto"/>
        <w:left w:val="none" w:sz="0" w:space="0" w:color="auto"/>
        <w:bottom w:val="none" w:sz="0" w:space="0" w:color="auto"/>
        <w:right w:val="none" w:sz="0" w:space="0" w:color="auto"/>
      </w:divBdr>
    </w:div>
    <w:div w:id="854348291">
      <w:marLeft w:val="0"/>
      <w:marRight w:val="0"/>
      <w:marTop w:val="0"/>
      <w:marBottom w:val="240"/>
      <w:divBdr>
        <w:top w:val="none" w:sz="0" w:space="0" w:color="auto"/>
        <w:left w:val="none" w:sz="0" w:space="0" w:color="auto"/>
        <w:bottom w:val="none" w:sz="0" w:space="0" w:color="auto"/>
        <w:right w:val="none" w:sz="0" w:space="0" w:color="auto"/>
      </w:divBdr>
    </w:div>
    <w:div w:id="869143115">
      <w:marLeft w:val="0"/>
      <w:marRight w:val="0"/>
      <w:marTop w:val="0"/>
      <w:marBottom w:val="240"/>
      <w:divBdr>
        <w:top w:val="none" w:sz="0" w:space="0" w:color="auto"/>
        <w:left w:val="none" w:sz="0" w:space="0" w:color="auto"/>
        <w:bottom w:val="none" w:sz="0" w:space="0" w:color="auto"/>
        <w:right w:val="none" w:sz="0" w:space="0" w:color="auto"/>
      </w:divBdr>
    </w:div>
    <w:div w:id="882523532">
      <w:marLeft w:val="0"/>
      <w:marRight w:val="0"/>
      <w:marTop w:val="0"/>
      <w:marBottom w:val="240"/>
      <w:divBdr>
        <w:top w:val="none" w:sz="0" w:space="0" w:color="auto"/>
        <w:left w:val="none" w:sz="0" w:space="0" w:color="auto"/>
        <w:bottom w:val="none" w:sz="0" w:space="0" w:color="auto"/>
        <w:right w:val="none" w:sz="0" w:space="0" w:color="auto"/>
      </w:divBdr>
    </w:div>
    <w:div w:id="887642329">
      <w:marLeft w:val="0"/>
      <w:marRight w:val="0"/>
      <w:marTop w:val="0"/>
      <w:marBottom w:val="240"/>
      <w:divBdr>
        <w:top w:val="none" w:sz="0" w:space="0" w:color="auto"/>
        <w:left w:val="none" w:sz="0" w:space="0" w:color="auto"/>
        <w:bottom w:val="none" w:sz="0" w:space="0" w:color="auto"/>
        <w:right w:val="none" w:sz="0" w:space="0" w:color="auto"/>
      </w:divBdr>
    </w:div>
    <w:div w:id="894706573">
      <w:marLeft w:val="0"/>
      <w:marRight w:val="0"/>
      <w:marTop w:val="0"/>
      <w:marBottom w:val="240"/>
      <w:divBdr>
        <w:top w:val="none" w:sz="0" w:space="0" w:color="auto"/>
        <w:left w:val="none" w:sz="0" w:space="0" w:color="auto"/>
        <w:bottom w:val="none" w:sz="0" w:space="0" w:color="auto"/>
        <w:right w:val="none" w:sz="0" w:space="0" w:color="auto"/>
      </w:divBdr>
    </w:div>
    <w:div w:id="908342727">
      <w:marLeft w:val="0"/>
      <w:marRight w:val="0"/>
      <w:marTop w:val="0"/>
      <w:marBottom w:val="240"/>
      <w:divBdr>
        <w:top w:val="none" w:sz="0" w:space="0" w:color="auto"/>
        <w:left w:val="none" w:sz="0" w:space="0" w:color="auto"/>
        <w:bottom w:val="none" w:sz="0" w:space="0" w:color="auto"/>
        <w:right w:val="none" w:sz="0" w:space="0" w:color="auto"/>
      </w:divBdr>
    </w:div>
    <w:div w:id="923992943">
      <w:marLeft w:val="0"/>
      <w:marRight w:val="0"/>
      <w:marTop w:val="0"/>
      <w:marBottom w:val="240"/>
      <w:divBdr>
        <w:top w:val="none" w:sz="0" w:space="0" w:color="auto"/>
        <w:left w:val="none" w:sz="0" w:space="0" w:color="auto"/>
        <w:bottom w:val="none" w:sz="0" w:space="0" w:color="auto"/>
        <w:right w:val="none" w:sz="0" w:space="0" w:color="auto"/>
      </w:divBdr>
    </w:div>
    <w:div w:id="946497577">
      <w:marLeft w:val="0"/>
      <w:marRight w:val="0"/>
      <w:marTop w:val="0"/>
      <w:marBottom w:val="240"/>
      <w:divBdr>
        <w:top w:val="none" w:sz="0" w:space="0" w:color="auto"/>
        <w:left w:val="none" w:sz="0" w:space="0" w:color="auto"/>
        <w:bottom w:val="none" w:sz="0" w:space="0" w:color="auto"/>
        <w:right w:val="none" w:sz="0" w:space="0" w:color="auto"/>
      </w:divBdr>
    </w:div>
    <w:div w:id="946814355">
      <w:marLeft w:val="0"/>
      <w:marRight w:val="0"/>
      <w:marTop w:val="0"/>
      <w:marBottom w:val="240"/>
      <w:divBdr>
        <w:top w:val="none" w:sz="0" w:space="0" w:color="auto"/>
        <w:left w:val="none" w:sz="0" w:space="0" w:color="auto"/>
        <w:bottom w:val="none" w:sz="0" w:space="0" w:color="auto"/>
        <w:right w:val="none" w:sz="0" w:space="0" w:color="auto"/>
      </w:divBdr>
    </w:div>
    <w:div w:id="958876081">
      <w:marLeft w:val="0"/>
      <w:marRight w:val="0"/>
      <w:marTop w:val="0"/>
      <w:marBottom w:val="240"/>
      <w:divBdr>
        <w:top w:val="none" w:sz="0" w:space="0" w:color="auto"/>
        <w:left w:val="none" w:sz="0" w:space="0" w:color="auto"/>
        <w:bottom w:val="none" w:sz="0" w:space="0" w:color="auto"/>
        <w:right w:val="none" w:sz="0" w:space="0" w:color="auto"/>
      </w:divBdr>
    </w:div>
    <w:div w:id="968052815">
      <w:marLeft w:val="0"/>
      <w:marRight w:val="0"/>
      <w:marTop w:val="0"/>
      <w:marBottom w:val="240"/>
      <w:divBdr>
        <w:top w:val="none" w:sz="0" w:space="0" w:color="auto"/>
        <w:left w:val="none" w:sz="0" w:space="0" w:color="auto"/>
        <w:bottom w:val="none" w:sz="0" w:space="0" w:color="auto"/>
        <w:right w:val="none" w:sz="0" w:space="0" w:color="auto"/>
      </w:divBdr>
    </w:div>
    <w:div w:id="987590860">
      <w:marLeft w:val="0"/>
      <w:marRight w:val="0"/>
      <w:marTop w:val="0"/>
      <w:marBottom w:val="240"/>
      <w:divBdr>
        <w:top w:val="none" w:sz="0" w:space="0" w:color="auto"/>
        <w:left w:val="none" w:sz="0" w:space="0" w:color="auto"/>
        <w:bottom w:val="none" w:sz="0" w:space="0" w:color="auto"/>
        <w:right w:val="none" w:sz="0" w:space="0" w:color="auto"/>
      </w:divBdr>
    </w:div>
    <w:div w:id="996345655">
      <w:marLeft w:val="0"/>
      <w:marRight w:val="0"/>
      <w:marTop w:val="0"/>
      <w:marBottom w:val="240"/>
      <w:divBdr>
        <w:top w:val="none" w:sz="0" w:space="0" w:color="auto"/>
        <w:left w:val="none" w:sz="0" w:space="0" w:color="auto"/>
        <w:bottom w:val="none" w:sz="0" w:space="0" w:color="auto"/>
        <w:right w:val="none" w:sz="0" w:space="0" w:color="auto"/>
      </w:divBdr>
    </w:div>
    <w:div w:id="998389307">
      <w:marLeft w:val="0"/>
      <w:marRight w:val="0"/>
      <w:marTop w:val="0"/>
      <w:marBottom w:val="240"/>
      <w:divBdr>
        <w:top w:val="none" w:sz="0" w:space="0" w:color="auto"/>
        <w:left w:val="none" w:sz="0" w:space="0" w:color="auto"/>
        <w:bottom w:val="none" w:sz="0" w:space="0" w:color="auto"/>
        <w:right w:val="none" w:sz="0" w:space="0" w:color="auto"/>
      </w:divBdr>
    </w:div>
    <w:div w:id="1005133916">
      <w:marLeft w:val="0"/>
      <w:marRight w:val="0"/>
      <w:marTop w:val="0"/>
      <w:marBottom w:val="240"/>
      <w:divBdr>
        <w:top w:val="none" w:sz="0" w:space="0" w:color="auto"/>
        <w:left w:val="none" w:sz="0" w:space="0" w:color="auto"/>
        <w:bottom w:val="none" w:sz="0" w:space="0" w:color="auto"/>
        <w:right w:val="none" w:sz="0" w:space="0" w:color="auto"/>
      </w:divBdr>
    </w:div>
    <w:div w:id="1020936892">
      <w:marLeft w:val="0"/>
      <w:marRight w:val="0"/>
      <w:marTop w:val="0"/>
      <w:marBottom w:val="240"/>
      <w:divBdr>
        <w:top w:val="none" w:sz="0" w:space="0" w:color="auto"/>
        <w:left w:val="none" w:sz="0" w:space="0" w:color="auto"/>
        <w:bottom w:val="none" w:sz="0" w:space="0" w:color="auto"/>
        <w:right w:val="none" w:sz="0" w:space="0" w:color="auto"/>
      </w:divBdr>
    </w:div>
    <w:div w:id="1023287151">
      <w:marLeft w:val="0"/>
      <w:marRight w:val="0"/>
      <w:marTop w:val="0"/>
      <w:marBottom w:val="240"/>
      <w:divBdr>
        <w:top w:val="none" w:sz="0" w:space="0" w:color="auto"/>
        <w:left w:val="none" w:sz="0" w:space="0" w:color="auto"/>
        <w:bottom w:val="none" w:sz="0" w:space="0" w:color="auto"/>
        <w:right w:val="none" w:sz="0" w:space="0" w:color="auto"/>
      </w:divBdr>
    </w:div>
    <w:div w:id="1052189886">
      <w:marLeft w:val="0"/>
      <w:marRight w:val="0"/>
      <w:marTop w:val="0"/>
      <w:marBottom w:val="240"/>
      <w:divBdr>
        <w:top w:val="none" w:sz="0" w:space="0" w:color="auto"/>
        <w:left w:val="none" w:sz="0" w:space="0" w:color="auto"/>
        <w:bottom w:val="none" w:sz="0" w:space="0" w:color="auto"/>
        <w:right w:val="none" w:sz="0" w:space="0" w:color="auto"/>
      </w:divBdr>
    </w:div>
    <w:div w:id="1059354785">
      <w:marLeft w:val="0"/>
      <w:marRight w:val="0"/>
      <w:marTop w:val="0"/>
      <w:marBottom w:val="240"/>
      <w:divBdr>
        <w:top w:val="none" w:sz="0" w:space="0" w:color="auto"/>
        <w:left w:val="none" w:sz="0" w:space="0" w:color="auto"/>
        <w:bottom w:val="none" w:sz="0" w:space="0" w:color="auto"/>
        <w:right w:val="none" w:sz="0" w:space="0" w:color="auto"/>
      </w:divBdr>
    </w:div>
    <w:div w:id="1073549345">
      <w:marLeft w:val="0"/>
      <w:marRight w:val="0"/>
      <w:marTop w:val="0"/>
      <w:marBottom w:val="240"/>
      <w:divBdr>
        <w:top w:val="none" w:sz="0" w:space="0" w:color="auto"/>
        <w:left w:val="none" w:sz="0" w:space="0" w:color="auto"/>
        <w:bottom w:val="none" w:sz="0" w:space="0" w:color="auto"/>
        <w:right w:val="none" w:sz="0" w:space="0" w:color="auto"/>
      </w:divBdr>
    </w:div>
    <w:div w:id="1077702432">
      <w:marLeft w:val="0"/>
      <w:marRight w:val="0"/>
      <w:marTop w:val="0"/>
      <w:marBottom w:val="240"/>
      <w:divBdr>
        <w:top w:val="none" w:sz="0" w:space="0" w:color="auto"/>
        <w:left w:val="none" w:sz="0" w:space="0" w:color="auto"/>
        <w:bottom w:val="none" w:sz="0" w:space="0" w:color="auto"/>
        <w:right w:val="none" w:sz="0" w:space="0" w:color="auto"/>
      </w:divBdr>
    </w:div>
    <w:div w:id="1108041964">
      <w:marLeft w:val="0"/>
      <w:marRight w:val="0"/>
      <w:marTop w:val="0"/>
      <w:marBottom w:val="240"/>
      <w:divBdr>
        <w:top w:val="none" w:sz="0" w:space="0" w:color="auto"/>
        <w:left w:val="none" w:sz="0" w:space="0" w:color="auto"/>
        <w:bottom w:val="none" w:sz="0" w:space="0" w:color="auto"/>
        <w:right w:val="none" w:sz="0" w:space="0" w:color="auto"/>
      </w:divBdr>
    </w:div>
    <w:div w:id="1128549111">
      <w:marLeft w:val="0"/>
      <w:marRight w:val="0"/>
      <w:marTop w:val="0"/>
      <w:marBottom w:val="240"/>
      <w:divBdr>
        <w:top w:val="none" w:sz="0" w:space="0" w:color="auto"/>
        <w:left w:val="none" w:sz="0" w:space="0" w:color="auto"/>
        <w:bottom w:val="none" w:sz="0" w:space="0" w:color="auto"/>
        <w:right w:val="none" w:sz="0" w:space="0" w:color="auto"/>
      </w:divBdr>
    </w:div>
    <w:div w:id="1143816093">
      <w:marLeft w:val="0"/>
      <w:marRight w:val="0"/>
      <w:marTop w:val="0"/>
      <w:marBottom w:val="360"/>
      <w:divBdr>
        <w:top w:val="single" w:sz="6" w:space="11" w:color="CCCCCC"/>
        <w:left w:val="single" w:sz="6" w:space="14" w:color="CCCCCC"/>
        <w:bottom w:val="single" w:sz="6" w:space="11" w:color="CCCCCC"/>
        <w:right w:val="single" w:sz="6" w:space="14" w:color="CCCCCC"/>
      </w:divBdr>
    </w:div>
    <w:div w:id="1149902093">
      <w:marLeft w:val="0"/>
      <w:marRight w:val="0"/>
      <w:marTop w:val="0"/>
      <w:marBottom w:val="240"/>
      <w:divBdr>
        <w:top w:val="none" w:sz="0" w:space="0" w:color="auto"/>
        <w:left w:val="none" w:sz="0" w:space="0" w:color="auto"/>
        <w:bottom w:val="none" w:sz="0" w:space="0" w:color="auto"/>
        <w:right w:val="none" w:sz="0" w:space="0" w:color="auto"/>
      </w:divBdr>
    </w:div>
    <w:div w:id="1166169797">
      <w:marLeft w:val="0"/>
      <w:marRight w:val="0"/>
      <w:marTop w:val="0"/>
      <w:marBottom w:val="240"/>
      <w:divBdr>
        <w:top w:val="none" w:sz="0" w:space="0" w:color="auto"/>
        <w:left w:val="none" w:sz="0" w:space="0" w:color="auto"/>
        <w:bottom w:val="none" w:sz="0" w:space="0" w:color="auto"/>
        <w:right w:val="none" w:sz="0" w:space="0" w:color="auto"/>
      </w:divBdr>
    </w:div>
    <w:div w:id="1182624605">
      <w:marLeft w:val="0"/>
      <w:marRight w:val="0"/>
      <w:marTop w:val="0"/>
      <w:marBottom w:val="240"/>
      <w:divBdr>
        <w:top w:val="none" w:sz="0" w:space="0" w:color="auto"/>
        <w:left w:val="none" w:sz="0" w:space="0" w:color="auto"/>
        <w:bottom w:val="none" w:sz="0" w:space="0" w:color="auto"/>
        <w:right w:val="none" w:sz="0" w:space="0" w:color="auto"/>
      </w:divBdr>
    </w:div>
    <w:div w:id="1201824353">
      <w:marLeft w:val="0"/>
      <w:marRight w:val="0"/>
      <w:marTop w:val="0"/>
      <w:marBottom w:val="240"/>
      <w:divBdr>
        <w:top w:val="none" w:sz="0" w:space="0" w:color="auto"/>
        <w:left w:val="none" w:sz="0" w:space="0" w:color="auto"/>
        <w:bottom w:val="none" w:sz="0" w:space="0" w:color="auto"/>
        <w:right w:val="none" w:sz="0" w:space="0" w:color="auto"/>
      </w:divBdr>
    </w:div>
    <w:div w:id="1211187440">
      <w:marLeft w:val="0"/>
      <w:marRight w:val="0"/>
      <w:marTop w:val="0"/>
      <w:marBottom w:val="240"/>
      <w:divBdr>
        <w:top w:val="none" w:sz="0" w:space="0" w:color="auto"/>
        <w:left w:val="none" w:sz="0" w:space="0" w:color="auto"/>
        <w:bottom w:val="none" w:sz="0" w:space="0" w:color="auto"/>
        <w:right w:val="none" w:sz="0" w:space="0" w:color="auto"/>
      </w:divBdr>
    </w:div>
    <w:div w:id="1214267700">
      <w:marLeft w:val="0"/>
      <w:marRight w:val="0"/>
      <w:marTop w:val="0"/>
      <w:marBottom w:val="240"/>
      <w:divBdr>
        <w:top w:val="none" w:sz="0" w:space="0" w:color="auto"/>
        <w:left w:val="none" w:sz="0" w:space="0" w:color="auto"/>
        <w:bottom w:val="none" w:sz="0" w:space="0" w:color="auto"/>
        <w:right w:val="none" w:sz="0" w:space="0" w:color="auto"/>
      </w:divBdr>
    </w:div>
    <w:div w:id="1217744321">
      <w:marLeft w:val="0"/>
      <w:marRight w:val="0"/>
      <w:marTop w:val="0"/>
      <w:marBottom w:val="240"/>
      <w:divBdr>
        <w:top w:val="none" w:sz="0" w:space="0" w:color="auto"/>
        <w:left w:val="none" w:sz="0" w:space="0" w:color="auto"/>
        <w:bottom w:val="none" w:sz="0" w:space="0" w:color="auto"/>
        <w:right w:val="none" w:sz="0" w:space="0" w:color="auto"/>
      </w:divBdr>
    </w:div>
    <w:div w:id="1227758706">
      <w:marLeft w:val="0"/>
      <w:marRight w:val="0"/>
      <w:marTop w:val="0"/>
      <w:marBottom w:val="240"/>
      <w:divBdr>
        <w:top w:val="none" w:sz="0" w:space="0" w:color="auto"/>
        <w:left w:val="none" w:sz="0" w:space="0" w:color="auto"/>
        <w:bottom w:val="none" w:sz="0" w:space="0" w:color="auto"/>
        <w:right w:val="none" w:sz="0" w:space="0" w:color="auto"/>
      </w:divBdr>
    </w:div>
    <w:div w:id="1249852361">
      <w:marLeft w:val="0"/>
      <w:marRight w:val="0"/>
      <w:marTop w:val="0"/>
      <w:marBottom w:val="240"/>
      <w:divBdr>
        <w:top w:val="none" w:sz="0" w:space="0" w:color="auto"/>
        <w:left w:val="none" w:sz="0" w:space="0" w:color="auto"/>
        <w:bottom w:val="none" w:sz="0" w:space="0" w:color="auto"/>
        <w:right w:val="none" w:sz="0" w:space="0" w:color="auto"/>
      </w:divBdr>
    </w:div>
    <w:div w:id="1250576408">
      <w:marLeft w:val="0"/>
      <w:marRight w:val="0"/>
      <w:marTop w:val="0"/>
      <w:marBottom w:val="240"/>
      <w:divBdr>
        <w:top w:val="none" w:sz="0" w:space="0" w:color="auto"/>
        <w:left w:val="none" w:sz="0" w:space="0" w:color="auto"/>
        <w:bottom w:val="none" w:sz="0" w:space="0" w:color="auto"/>
        <w:right w:val="none" w:sz="0" w:space="0" w:color="auto"/>
      </w:divBdr>
    </w:div>
    <w:div w:id="1267150706">
      <w:marLeft w:val="0"/>
      <w:marRight w:val="0"/>
      <w:marTop w:val="0"/>
      <w:marBottom w:val="240"/>
      <w:divBdr>
        <w:top w:val="none" w:sz="0" w:space="0" w:color="auto"/>
        <w:left w:val="none" w:sz="0" w:space="0" w:color="auto"/>
        <w:bottom w:val="none" w:sz="0" w:space="0" w:color="auto"/>
        <w:right w:val="none" w:sz="0" w:space="0" w:color="auto"/>
      </w:divBdr>
    </w:div>
    <w:div w:id="1268587772">
      <w:marLeft w:val="0"/>
      <w:marRight w:val="0"/>
      <w:marTop w:val="0"/>
      <w:marBottom w:val="240"/>
      <w:divBdr>
        <w:top w:val="none" w:sz="0" w:space="0" w:color="auto"/>
        <w:left w:val="none" w:sz="0" w:space="0" w:color="auto"/>
        <w:bottom w:val="none" w:sz="0" w:space="0" w:color="auto"/>
        <w:right w:val="none" w:sz="0" w:space="0" w:color="auto"/>
      </w:divBdr>
    </w:div>
    <w:div w:id="1274167856">
      <w:marLeft w:val="0"/>
      <w:marRight w:val="0"/>
      <w:marTop w:val="0"/>
      <w:marBottom w:val="240"/>
      <w:divBdr>
        <w:top w:val="none" w:sz="0" w:space="0" w:color="auto"/>
        <w:left w:val="none" w:sz="0" w:space="0" w:color="auto"/>
        <w:bottom w:val="none" w:sz="0" w:space="0" w:color="auto"/>
        <w:right w:val="none" w:sz="0" w:space="0" w:color="auto"/>
      </w:divBdr>
    </w:div>
    <w:div w:id="1311054423">
      <w:marLeft w:val="0"/>
      <w:marRight w:val="0"/>
      <w:marTop w:val="0"/>
      <w:marBottom w:val="240"/>
      <w:divBdr>
        <w:top w:val="none" w:sz="0" w:space="0" w:color="auto"/>
        <w:left w:val="none" w:sz="0" w:space="0" w:color="auto"/>
        <w:bottom w:val="none" w:sz="0" w:space="0" w:color="auto"/>
        <w:right w:val="none" w:sz="0" w:space="0" w:color="auto"/>
      </w:divBdr>
    </w:div>
    <w:div w:id="1311516968">
      <w:marLeft w:val="0"/>
      <w:marRight w:val="0"/>
      <w:marTop w:val="0"/>
      <w:marBottom w:val="240"/>
      <w:divBdr>
        <w:top w:val="none" w:sz="0" w:space="0" w:color="auto"/>
        <w:left w:val="none" w:sz="0" w:space="0" w:color="auto"/>
        <w:bottom w:val="none" w:sz="0" w:space="0" w:color="auto"/>
        <w:right w:val="none" w:sz="0" w:space="0" w:color="auto"/>
      </w:divBdr>
    </w:div>
    <w:div w:id="1351295452">
      <w:marLeft w:val="0"/>
      <w:marRight w:val="0"/>
      <w:marTop w:val="0"/>
      <w:marBottom w:val="240"/>
      <w:divBdr>
        <w:top w:val="none" w:sz="0" w:space="0" w:color="auto"/>
        <w:left w:val="none" w:sz="0" w:space="0" w:color="auto"/>
        <w:bottom w:val="none" w:sz="0" w:space="0" w:color="auto"/>
        <w:right w:val="none" w:sz="0" w:space="0" w:color="auto"/>
      </w:divBdr>
    </w:div>
    <w:div w:id="1365330458">
      <w:marLeft w:val="0"/>
      <w:marRight w:val="0"/>
      <w:marTop w:val="0"/>
      <w:marBottom w:val="240"/>
      <w:divBdr>
        <w:top w:val="none" w:sz="0" w:space="0" w:color="auto"/>
        <w:left w:val="none" w:sz="0" w:space="0" w:color="auto"/>
        <w:bottom w:val="none" w:sz="0" w:space="0" w:color="auto"/>
        <w:right w:val="none" w:sz="0" w:space="0" w:color="auto"/>
      </w:divBdr>
    </w:div>
    <w:div w:id="1387607449">
      <w:marLeft w:val="0"/>
      <w:marRight w:val="0"/>
      <w:marTop w:val="0"/>
      <w:marBottom w:val="240"/>
      <w:divBdr>
        <w:top w:val="none" w:sz="0" w:space="0" w:color="auto"/>
        <w:left w:val="none" w:sz="0" w:space="0" w:color="auto"/>
        <w:bottom w:val="none" w:sz="0" w:space="0" w:color="auto"/>
        <w:right w:val="none" w:sz="0" w:space="0" w:color="auto"/>
      </w:divBdr>
    </w:div>
    <w:div w:id="1408964529">
      <w:marLeft w:val="0"/>
      <w:marRight w:val="0"/>
      <w:marTop w:val="0"/>
      <w:marBottom w:val="240"/>
      <w:divBdr>
        <w:top w:val="none" w:sz="0" w:space="0" w:color="auto"/>
        <w:left w:val="none" w:sz="0" w:space="0" w:color="auto"/>
        <w:bottom w:val="none" w:sz="0" w:space="0" w:color="auto"/>
        <w:right w:val="none" w:sz="0" w:space="0" w:color="auto"/>
      </w:divBdr>
    </w:div>
    <w:div w:id="1455059553">
      <w:marLeft w:val="0"/>
      <w:marRight w:val="0"/>
      <w:marTop w:val="0"/>
      <w:marBottom w:val="240"/>
      <w:divBdr>
        <w:top w:val="none" w:sz="0" w:space="0" w:color="auto"/>
        <w:left w:val="none" w:sz="0" w:space="0" w:color="auto"/>
        <w:bottom w:val="none" w:sz="0" w:space="0" w:color="auto"/>
        <w:right w:val="none" w:sz="0" w:space="0" w:color="auto"/>
      </w:divBdr>
    </w:div>
    <w:div w:id="1461260837">
      <w:marLeft w:val="0"/>
      <w:marRight w:val="0"/>
      <w:marTop w:val="0"/>
      <w:marBottom w:val="240"/>
      <w:divBdr>
        <w:top w:val="none" w:sz="0" w:space="0" w:color="auto"/>
        <w:left w:val="none" w:sz="0" w:space="0" w:color="auto"/>
        <w:bottom w:val="none" w:sz="0" w:space="0" w:color="auto"/>
        <w:right w:val="none" w:sz="0" w:space="0" w:color="auto"/>
      </w:divBdr>
    </w:div>
    <w:div w:id="1462116261">
      <w:marLeft w:val="0"/>
      <w:marRight w:val="0"/>
      <w:marTop w:val="0"/>
      <w:marBottom w:val="240"/>
      <w:divBdr>
        <w:top w:val="none" w:sz="0" w:space="0" w:color="auto"/>
        <w:left w:val="none" w:sz="0" w:space="0" w:color="auto"/>
        <w:bottom w:val="none" w:sz="0" w:space="0" w:color="auto"/>
        <w:right w:val="none" w:sz="0" w:space="0" w:color="auto"/>
      </w:divBdr>
    </w:div>
    <w:div w:id="1472140435">
      <w:marLeft w:val="0"/>
      <w:marRight w:val="0"/>
      <w:marTop w:val="0"/>
      <w:marBottom w:val="240"/>
      <w:divBdr>
        <w:top w:val="none" w:sz="0" w:space="0" w:color="auto"/>
        <w:left w:val="none" w:sz="0" w:space="0" w:color="auto"/>
        <w:bottom w:val="none" w:sz="0" w:space="0" w:color="auto"/>
        <w:right w:val="none" w:sz="0" w:space="0" w:color="auto"/>
      </w:divBdr>
    </w:div>
    <w:div w:id="1485269204">
      <w:marLeft w:val="0"/>
      <w:marRight w:val="0"/>
      <w:marTop w:val="0"/>
      <w:marBottom w:val="240"/>
      <w:divBdr>
        <w:top w:val="none" w:sz="0" w:space="0" w:color="auto"/>
        <w:left w:val="none" w:sz="0" w:space="0" w:color="auto"/>
        <w:bottom w:val="none" w:sz="0" w:space="0" w:color="auto"/>
        <w:right w:val="none" w:sz="0" w:space="0" w:color="auto"/>
      </w:divBdr>
    </w:div>
    <w:div w:id="1486703630">
      <w:marLeft w:val="0"/>
      <w:marRight w:val="0"/>
      <w:marTop w:val="0"/>
      <w:marBottom w:val="240"/>
      <w:divBdr>
        <w:top w:val="none" w:sz="0" w:space="0" w:color="auto"/>
        <w:left w:val="none" w:sz="0" w:space="0" w:color="auto"/>
        <w:bottom w:val="none" w:sz="0" w:space="0" w:color="auto"/>
        <w:right w:val="none" w:sz="0" w:space="0" w:color="auto"/>
      </w:divBdr>
    </w:div>
    <w:div w:id="1490514175">
      <w:marLeft w:val="0"/>
      <w:marRight w:val="0"/>
      <w:marTop w:val="0"/>
      <w:marBottom w:val="240"/>
      <w:divBdr>
        <w:top w:val="none" w:sz="0" w:space="0" w:color="auto"/>
        <w:left w:val="none" w:sz="0" w:space="0" w:color="auto"/>
        <w:bottom w:val="none" w:sz="0" w:space="0" w:color="auto"/>
        <w:right w:val="none" w:sz="0" w:space="0" w:color="auto"/>
      </w:divBdr>
    </w:div>
    <w:div w:id="1504397458">
      <w:marLeft w:val="0"/>
      <w:marRight w:val="0"/>
      <w:marTop w:val="0"/>
      <w:marBottom w:val="240"/>
      <w:divBdr>
        <w:top w:val="none" w:sz="0" w:space="0" w:color="auto"/>
        <w:left w:val="none" w:sz="0" w:space="0" w:color="auto"/>
        <w:bottom w:val="none" w:sz="0" w:space="0" w:color="auto"/>
        <w:right w:val="none" w:sz="0" w:space="0" w:color="auto"/>
      </w:divBdr>
    </w:div>
    <w:div w:id="1545947201">
      <w:marLeft w:val="0"/>
      <w:marRight w:val="0"/>
      <w:marTop w:val="0"/>
      <w:marBottom w:val="240"/>
      <w:divBdr>
        <w:top w:val="none" w:sz="0" w:space="0" w:color="auto"/>
        <w:left w:val="none" w:sz="0" w:space="0" w:color="auto"/>
        <w:bottom w:val="none" w:sz="0" w:space="0" w:color="auto"/>
        <w:right w:val="none" w:sz="0" w:space="0" w:color="auto"/>
      </w:divBdr>
    </w:div>
    <w:div w:id="1548176893">
      <w:marLeft w:val="0"/>
      <w:marRight w:val="0"/>
      <w:marTop w:val="0"/>
      <w:marBottom w:val="240"/>
      <w:divBdr>
        <w:top w:val="none" w:sz="0" w:space="0" w:color="auto"/>
        <w:left w:val="none" w:sz="0" w:space="0" w:color="auto"/>
        <w:bottom w:val="none" w:sz="0" w:space="0" w:color="auto"/>
        <w:right w:val="none" w:sz="0" w:space="0" w:color="auto"/>
      </w:divBdr>
    </w:div>
    <w:div w:id="1551962365">
      <w:marLeft w:val="0"/>
      <w:marRight w:val="0"/>
      <w:marTop w:val="0"/>
      <w:marBottom w:val="240"/>
      <w:divBdr>
        <w:top w:val="none" w:sz="0" w:space="0" w:color="auto"/>
        <w:left w:val="none" w:sz="0" w:space="0" w:color="auto"/>
        <w:bottom w:val="none" w:sz="0" w:space="0" w:color="auto"/>
        <w:right w:val="none" w:sz="0" w:space="0" w:color="auto"/>
      </w:divBdr>
    </w:div>
    <w:div w:id="1560045185">
      <w:marLeft w:val="0"/>
      <w:marRight w:val="0"/>
      <w:marTop w:val="0"/>
      <w:marBottom w:val="240"/>
      <w:divBdr>
        <w:top w:val="none" w:sz="0" w:space="0" w:color="auto"/>
        <w:left w:val="none" w:sz="0" w:space="0" w:color="auto"/>
        <w:bottom w:val="none" w:sz="0" w:space="0" w:color="auto"/>
        <w:right w:val="none" w:sz="0" w:space="0" w:color="auto"/>
      </w:divBdr>
    </w:div>
    <w:div w:id="1572236250">
      <w:marLeft w:val="0"/>
      <w:marRight w:val="0"/>
      <w:marTop w:val="0"/>
      <w:marBottom w:val="240"/>
      <w:divBdr>
        <w:top w:val="none" w:sz="0" w:space="0" w:color="auto"/>
        <w:left w:val="none" w:sz="0" w:space="0" w:color="auto"/>
        <w:bottom w:val="none" w:sz="0" w:space="0" w:color="auto"/>
        <w:right w:val="none" w:sz="0" w:space="0" w:color="auto"/>
      </w:divBdr>
    </w:div>
    <w:div w:id="1597521023">
      <w:marLeft w:val="0"/>
      <w:marRight w:val="0"/>
      <w:marTop w:val="0"/>
      <w:marBottom w:val="240"/>
      <w:divBdr>
        <w:top w:val="none" w:sz="0" w:space="0" w:color="auto"/>
        <w:left w:val="none" w:sz="0" w:space="0" w:color="auto"/>
        <w:bottom w:val="none" w:sz="0" w:space="0" w:color="auto"/>
        <w:right w:val="none" w:sz="0" w:space="0" w:color="auto"/>
      </w:divBdr>
    </w:div>
    <w:div w:id="1599606510">
      <w:marLeft w:val="0"/>
      <w:marRight w:val="0"/>
      <w:marTop w:val="0"/>
      <w:marBottom w:val="240"/>
      <w:divBdr>
        <w:top w:val="none" w:sz="0" w:space="0" w:color="auto"/>
        <w:left w:val="none" w:sz="0" w:space="0" w:color="auto"/>
        <w:bottom w:val="none" w:sz="0" w:space="0" w:color="auto"/>
        <w:right w:val="none" w:sz="0" w:space="0" w:color="auto"/>
      </w:divBdr>
    </w:div>
    <w:div w:id="1601596617">
      <w:marLeft w:val="0"/>
      <w:marRight w:val="0"/>
      <w:marTop w:val="0"/>
      <w:marBottom w:val="240"/>
      <w:divBdr>
        <w:top w:val="none" w:sz="0" w:space="0" w:color="auto"/>
        <w:left w:val="none" w:sz="0" w:space="0" w:color="auto"/>
        <w:bottom w:val="none" w:sz="0" w:space="0" w:color="auto"/>
        <w:right w:val="none" w:sz="0" w:space="0" w:color="auto"/>
      </w:divBdr>
    </w:div>
    <w:div w:id="1613824344">
      <w:marLeft w:val="0"/>
      <w:marRight w:val="0"/>
      <w:marTop w:val="0"/>
      <w:marBottom w:val="240"/>
      <w:divBdr>
        <w:top w:val="none" w:sz="0" w:space="0" w:color="auto"/>
        <w:left w:val="none" w:sz="0" w:space="0" w:color="auto"/>
        <w:bottom w:val="none" w:sz="0" w:space="0" w:color="auto"/>
        <w:right w:val="none" w:sz="0" w:space="0" w:color="auto"/>
      </w:divBdr>
    </w:div>
    <w:div w:id="1619532181">
      <w:marLeft w:val="0"/>
      <w:marRight w:val="0"/>
      <w:marTop w:val="0"/>
      <w:marBottom w:val="240"/>
      <w:divBdr>
        <w:top w:val="none" w:sz="0" w:space="0" w:color="auto"/>
        <w:left w:val="none" w:sz="0" w:space="0" w:color="auto"/>
        <w:bottom w:val="none" w:sz="0" w:space="0" w:color="auto"/>
        <w:right w:val="none" w:sz="0" w:space="0" w:color="auto"/>
      </w:divBdr>
    </w:div>
    <w:div w:id="1637375672">
      <w:marLeft w:val="0"/>
      <w:marRight w:val="0"/>
      <w:marTop w:val="0"/>
      <w:marBottom w:val="240"/>
      <w:divBdr>
        <w:top w:val="none" w:sz="0" w:space="0" w:color="auto"/>
        <w:left w:val="none" w:sz="0" w:space="0" w:color="auto"/>
        <w:bottom w:val="none" w:sz="0" w:space="0" w:color="auto"/>
        <w:right w:val="none" w:sz="0" w:space="0" w:color="auto"/>
      </w:divBdr>
    </w:div>
    <w:div w:id="1638146104">
      <w:marLeft w:val="0"/>
      <w:marRight w:val="0"/>
      <w:marTop w:val="0"/>
      <w:marBottom w:val="240"/>
      <w:divBdr>
        <w:top w:val="none" w:sz="0" w:space="0" w:color="auto"/>
        <w:left w:val="none" w:sz="0" w:space="0" w:color="auto"/>
        <w:bottom w:val="none" w:sz="0" w:space="0" w:color="auto"/>
        <w:right w:val="none" w:sz="0" w:space="0" w:color="auto"/>
      </w:divBdr>
    </w:div>
    <w:div w:id="1641694837">
      <w:marLeft w:val="0"/>
      <w:marRight w:val="0"/>
      <w:marTop w:val="0"/>
      <w:marBottom w:val="240"/>
      <w:divBdr>
        <w:top w:val="none" w:sz="0" w:space="0" w:color="auto"/>
        <w:left w:val="none" w:sz="0" w:space="0" w:color="auto"/>
        <w:bottom w:val="none" w:sz="0" w:space="0" w:color="auto"/>
        <w:right w:val="none" w:sz="0" w:space="0" w:color="auto"/>
      </w:divBdr>
    </w:div>
    <w:div w:id="1664384981">
      <w:marLeft w:val="0"/>
      <w:marRight w:val="0"/>
      <w:marTop w:val="0"/>
      <w:marBottom w:val="240"/>
      <w:divBdr>
        <w:top w:val="none" w:sz="0" w:space="0" w:color="auto"/>
        <w:left w:val="none" w:sz="0" w:space="0" w:color="auto"/>
        <w:bottom w:val="none" w:sz="0" w:space="0" w:color="auto"/>
        <w:right w:val="none" w:sz="0" w:space="0" w:color="auto"/>
      </w:divBdr>
    </w:div>
    <w:div w:id="1714454437">
      <w:marLeft w:val="0"/>
      <w:marRight w:val="0"/>
      <w:marTop w:val="0"/>
      <w:marBottom w:val="240"/>
      <w:divBdr>
        <w:top w:val="none" w:sz="0" w:space="0" w:color="auto"/>
        <w:left w:val="none" w:sz="0" w:space="0" w:color="auto"/>
        <w:bottom w:val="none" w:sz="0" w:space="0" w:color="auto"/>
        <w:right w:val="none" w:sz="0" w:space="0" w:color="auto"/>
      </w:divBdr>
    </w:div>
    <w:div w:id="1723215626">
      <w:marLeft w:val="0"/>
      <w:marRight w:val="0"/>
      <w:marTop w:val="0"/>
      <w:marBottom w:val="240"/>
      <w:divBdr>
        <w:top w:val="none" w:sz="0" w:space="0" w:color="auto"/>
        <w:left w:val="none" w:sz="0" w:space="0" w:color="auto"/>
        <w:bottom w:val="none" w:sz="0" w:space="0" w:color="auto"/>
        <w:right w:val="none" w:sz="0" w:space="0" w:color="auto"/>
      </w:divBdr>
    </w:div>
    <w:div w:id="1730420642">
      <w:marLeft w:val="0"/>
      <w:marRight w:val="0"/>
      <w:marTop w:val="0"/>
      <w:marBottom w:val="240"/>
      <w:divBdr>
        <w:top w:val="none" w:sz="0" w:space="0" w:color="auto"/>
        <w:left w:val="none" w:sz="0" w:space="0" w:color="auto"/>
        <w:bottom w:val="none" w:sz="0" w:space="0" w:color="auto"/>
        <w:right w:val="none" w:sz="0" w:space="0" w:color="auto"/>
      </w:divBdr>
    </w:div>
    <w:div w:id="1766463358">
      <w:marLeft w:val="0"/>
      <w:marRight w:val="0"/>
      <w:marTop w:val="0"/>
      <w:marBottom w:val="240"/>
      <w:divBdr>
        <w:top w:val="none" w:sz="0" w:space="0" w:color="auto"/>
        <w:left w:val="none" w:sz="0" w:space="0" w:color="auto"/>
        <w:bottom w:val="none" w:sz="0" w:space="0" w:color="auto"/>
        <w:right w:val="none" w:sz="0" w:space="0" w:color="auto"/>
      </w:divBdr>
    </w:div>
    <w:div w:id="1771579847">
      <w:marLeft w:val="0"/>
      <w:marRight w:val="0"/>
      <w:marTop w:val="0"/>
      <w:marBottom w:val="240"/>
      <w:divBdr>
        <w:top w:val="none" w:sz="0" w:space="0" w:color="auto"/>
        <w:left w:val="none" w:sz="0" w:space="0" w:color="auto"/>
        <w:bottom w:val="none" w:sz="0" w:space="0" w:color="auto"/>
        <w:right w:val="none" w:sz="0" w:space="0" w:color="auto"/>
      </w:divBdr>
    </w:div>
    <w:div w:id="1771732795">
      <w:marLeft w:val="0"/>
      <w:marRight w:val="0"/>
      <w:marTop w:val="0"/>
      <w:marBottom w:val="240"/>
      <w:divBdr>
        <w:top w:val="none" w:sz="0" w:space="0" w:color="auto"/>
        <w:left w:val="none" w:sz="0" w:space="0" w:color="auto"/>
        <w:bottom w:val="none" w:sz="0" w:space="0" w:color="auto"/>
        <w:right w:val="none" w:sz="0" w:space="0" w:color="auto"/>
      </w:divBdr>
    </w:div>
    <w:div w:id="1774204885">
      <w:marLeft w:val="0"/>
      <w:marRight w:val="0"/>
      <w:marTop w:val="0"/>
      <w:marBottom w:val="240"/>
      <w:divBdr>
        <w:top w:val="none" w:sz="0" w:space="0" w:color="auto"/>
        <w:left w:val="none" w:sz="0" w:space="0" w:color="auto"/>
        <w:bottom w:val="none" w:sz="0" w:space="0" w:color="auto"/>
        <w:right w:val="none" w:sz="0" w:space="0" w:color="auto"/>
      </w:divBdr>
    </w:div>
    <w:div w:id="1906450479">
      <w:marLeft w:val="0"/>
      <w:marRight w:val="0"/>
      <w:marTop w:val="0"/>
      <w:marBottom w:val="240"/>
      <w:divBdr>
        <w:top w:val="none" w:sz="0" w:space="0" w:color="auto"/>
        <w:left w:val="none" w:sz="0" w:space="0" w:color="auto"/>
        <w:bottom w:val="none" w:sz="0" w:space="0" w:color="auto"/>
        <w:right w:val="none" w:sz="0" w:space="0" w:color="auto"/>
      </w:divBdr>
    </w:div>
    <w:div w:id="1909609870">
      <w:marLeft w:val="0"/>
      <w:marRight w:val="0"/>
      <w:marTop w:val="0"/>
      <w:marBottom w:val="240"/>
      <w:divBdr>
        <w:top w:val="none" w:sz="0" w:space="0" w:color="auto"/>
        <w:left w:val="none" w:sz="0" w:space="0" w:color="auto"/>
        <w:bottom w:val="none" w:sz="0" w:space="0" w:color="auto"/>
        <w:right w:val="none" w:sz="0" w:space="0" w:color="auto"/>
      </w:divBdr>
    </w:div>
    <w:div w:id="1911233942">
      <w:marLeft w:val="0"/>
      <w:marRight w:val="0"/>
      <w:marTop w:val="0"/>
      <w:marBottom w:val="240"/>
      <w:divBdr>
        <w:top w:val="none" w:sz="0" w:space="0" w:color="auto"/>
        <w:left w:val="none" w:sz="0" w:space="0" w:color="auto"/>
        <w:bottom w:val="none" w:sz="0" w:space="0" w:color="auto"/>
        <w:right w:val="none" w:sz="0" w:space="0" w:color="auto"/>
      </w:divBdr>
    </w:div>
    <w:div w:id="1933272839">
      <w:marLeft w:val="0"/>
      <w:marRight w:val="0"/>
      <w:marTop w:val="0"/>
      <w:marBottom w:val="240"/>
      <w:divBdr>
        <w:top w:val="none" w:sz="0" w:space="0" w:color="auto"/>
        <w:left w:val="none" w:sz="0" w:space="0" w:color="auto"/>
        <w:bottom w:val="none" w:sz="0" w:space="0" w:color="auto"/>
        <w:right w:val="none" w:sz="0" w:space="0" w:color="auto"/>
      </w:divBdr>
    </w:div>
    <w:div w:id="1934362142">
      <w:marLeft w:val="0"/>
      <w:marRight w:val="0"/>
      <w:marTop w:val="0"/>
      <w:marBottom w:val="240"/>
      <w:divBdr>
        <w:top w:val="none" w:sz="0" w:space="0" w:color="auto"/>
        <w:left w:val="none" w:sz="0" w:space="0" w:color="auto"/>
        <w:bottom w:val="none" w:sz="0" w:space="0" w:color="auto"/>
        <w:right w:val="none" w:sz="0" w:space="0" w:color="auto"/>
      </w:divBdr>
    </w:div>
    <w:div w:id="1941713817">
      <w:marLeft w:val="0"/>
      <w:marRight w:val="0"/>
      <w:marTop w:val="0"/>
      <w:marBottom w:val="240"/>
      <w:divBdr>
        <w:top w:val="none" w:sz="0" w:space="0" w:color="auto"/>
        <w:left w:val="none" w:sz="0" w:space="0" w:color="auto"/>
        <w:bottom w:val="none" w:sz="0" w:space="0" w:color="auto"/>
        <w:right w:val="none" w:sz="0" w:space="0" w:color="auto"/>
      </w:divBdr>
    </w:div>
    <w:div w:id="1990329719">
      <w:marLeft w:val="0"/>
      <w:marRight w:val="0"/>
      <w:marTop w:val="0"/>
      <w:marBottom w:val="240"/>
      <w:divBdr>
        <w:top w:val="none" w:sz="0" w:space="0" w:color="auto"/>
        <w:left w:val="none" w:sz="0" w:space="0" w:color="auto"/>
        <w:bottom w:val="none" w:sz="0" w:space="0" w:color="auto"/>
        <w:right w:val="none" w:sz="0" w:space="0" w:color="auto"/>
      </w:divBdr>
    </w:div>
    <w:div w:id="2010980048">
      <w:marLeft w:val="0"/>
      <w:marRight w:val="0"/>
      <w:marTop w:val="0"/>
      <w:marBottom w:val="240"/>
      <w:divBdr>
        <w:top w:val="none" w:sz="0" w:space="0" w:color="auto"/>
        <w:left w:val="none" w:sz="0" w:space="0" w:color="auto"/>
        <w:bottom w:val="none" w:sz="0" w:space="0" w:color="auto"/>
        <w:right w:val="none" w:sz="0" w:space="0" w:color="auto"/>
      </w:divBdr>
    </w:div>
    <w:div w:id="2023437852">
      <w:marLeft w:val="0"/>
      <w:marRight w:val="0"/>
      <w:marTop w:val="0"/>
      <w:marBottom w:val="240"/>
      <w:divBdr>
        <w:top w:val="none" w:sz="0" w:space="0" w:color="auto"/>
        <w:left w:val="none" w:sz="0" w:space="0" w:color="auto"/>
        <w:bottom w:val="none" w:sz="0" w:space="0" w:color="auto"/>
        <w:right w:val="none" w:sz="0" w:space="0" w:color="auto"/>
      </w:divBdr>
    </w:div>
    <w:div w:id="2029065893">
      <w:marLeft w:val="0"/>
      <w:marRight w:val="0"/>
      <w:marTop w:val="0"/>
      <w:marBottom w:val="240"/>
      <w:divBdr>
        <w:top w:val="none" w:sz="0" w:space="0" w:color="auto"/>
        <w:left w:val="none" w:sz="0" w:space="0" w:color="auto"/>
        <w:bottom w:val="none" w:sz="0" w:space="0" w:color="auto"/>
        <w:right w:val="none" w:sz="0" w:space="0" w:color="auto"/>
      </w:divBdr>
    </w:div>
    <w:div w:id="2032683065">
      <w:marLeft w:val="0"/>
      <w:marRight w:val="0"/>
      <w:marTop w:val="0"/>
      <w:marBottom w:val="240"/>
      <w:divBdr>
        <w:top w:val="none" w:sz="0" w:space="0" w:color="auto"/>
        <w:left w:val="none" w:sz="0" w:space="0" w:color="auto"/>
        <w:bottom w:val="none" w:sz="0" w:space="0" w:color="auto"/>
        <w:right w:val="none" w:sz="0" w:space="0" w:color="auto"/>
      </w:divBdr>
    </w:div>
    <w:div w:id="2034721651">
      <w:marLeft w:val="0"/>
      <w:marRight w:val="0"/>
      <w:marTop w:val="0"/>
      <w:marBottom w:val="240"/>
      <w:divBdr>
        <w:top w:val="none" w:sz="0" w:space="0" w:color="auto"/>
        <w:left w:val="none" w:sz="0" w:space="0" w:color="auto"/>
        <w:bottom w:val="none" w:sz="0" w:space="0" w:color="auto"/>
        <w:right w:val="none" w:sz="0" w:space="0" w:color="auto"/>
      </w:divBdr>
    </w:div>
    <w:div w:id="2087026615">
      <w:marLeft w:val="0"/>
      <w:marRight w:val="0"/>
      <w:marTop w:val="0"/>
      <w:marBottom w:val="240"/>
      <w:divBdr>
        <w:top w:val="none" w:sz="0" w:space="0" w:color="auto"/>
        <w:left w:val="none" w:sz="0" w:space="0" w:color="auto"/>
        <w:bottom w:val="none" w:sz="0" w:space="0" w:color="auto"/>
        <w:right w:val="none" w:sz="0" w:space="0" w:color="auto"/>
      </w:divBdr>
    </w:div>
    <w:div w:id="2134250465">
      <w:marLeft w:val="0"/>
      <w:marRight w:val="0"/>
      <w:marTop w:val="0"/>
      <w:marBottom w:val="240"/>
      <w:divBdr>
        <w:top w:val="none" w:sz="0" w:space="0" w:color="auto"/>
        <w:left w:val="none" w:sz="0" w:space="0" w:color="auto"/>
        <w:bottom w:val="none" w:sz="0" w:space="0" w:color="auto"/>
        <w:right w:val="none" w:sz="0" w:space="0" w:color="auto"/>
      </w:divBdr>
    </w:div>
    <w:div w:id="2137329605">
      <w:marLeft w:val="0"/>
      <w:marRight w:val="0"/>
      <w:marTop w:val="0"/>
      <w:marBottom w:val="24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biomapconsortium@ati.org" TargetMode="External"/><Relationship Id="rId4" Type="http://schemas.openxmlformats.org/officeDocument/2006/relationships/customXml" Target="../customXml/item4.xml"/><Relationship Id="rId9" Type="http://schemas.openxmlformats.org/officeDocument/2006/relationships/hyperlink" Target="mailto:biomap-contracts@at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10e84e-96cd-4d34-9d6d-7e9065caf9b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648DE3DAC36494E9436D40CE309A091" ma:contentTypeVersion="18" ma:contentTypeDescription="Create a new document." ma:contentTypeScope="" ma:versionID="53e593f572c48205c93c532691f7ff81">
  <xsd:schema xmlns:xsd="http://www.w3.org/2001/XMLSchema" xmlns:xs="http://www.w3.org/2001/XMLSchema" xmlns:p="http://schemas.microsoft.com/office/2006/metadata/properties" xmlns:ns2="af82ecbd-a39c-43aa-8b3d-43b91785888a" xmlns:ns3="2e10e84e-96cd-4d34-9d6d-7e9065caf9b2" targetNamespace="http://schemas.microsoft.com/office/2006/metadata/properties" ma:root="true" ma:fieldsID="f1b6883b79c041a36274ed9982348491" ns2:_="" ns3:_="">
    <xsd:import namespace="af82ecbd-a39c-43aa-8b3d-43b91785888a"/>
    <xsd:import namespace="2e10e84e-96cd-4d34-9d6d-7e9065caf9b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2ecbd-a39c-43aa-8b3d-43b91785888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10e84e-96cd-4d34-9d6d-7e9065caf9b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60054a-f39b-401b-8042-7d2b45db6a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771305-2697-45B7-9EB9-B3DF00951FE5}">
  <ds:schemaRefs>
    <ds:schemaRef ds:uri="http://schemas.microsoft.com/sharepoint/v3/contenttype/forms"/>
  </ds:schemaRefs>
</ds:datastoreItem>
</file>

<file path=customXml/itemProps2.xml><?xml version="1.0" encoding="utf-8"?>
<ds:datastoreItem xmlns:ds="http://schemas.openxmlformats.org/officeDocument/2006/customXml" ds:itemID="{C22DBBAB-795A-4F10-A2DD-65861C4BF4DA}">
  <ds:schemaRefs>
    <ds:schemaRef ds:uri="http://schemas.microsoft.com/sharepoint/events"/>
  </ds:schemaRefs>
</ds:datastoreItem>
</file>

<file path=customXml/itemProps3.xml><?xml version="1.0" encoding="utf-8"?>
<ds:datastoreItem xmlns:ds="http://schemas.openxmlformats.org/officeDocument/2006/customXml" ds:itemID="{554BBFD0-052C-46A0-B220-3F06A4574D50}">
  <ds:schemaRefs>
    <ds:schemaRef ds:uri="http://schemas.microsoft.com/office/2006/metadata/properties"/>
    <ds:schemaRef ds:uri="http://schemas.microsoft.com/office/infopath/2007/PartnerControls"/>
    <ds:schemaRef ds:uri="2e10e84e-96cd-4d34-9d6d-7e9065caf9b2"/>
  </ds:schemaRefs>
</ds:datastoreItem>
</file>

<file path=customXml/itemProps4.xml><?xml version="1.0" encoding="utf-8"?>
<ds:datastoreItem xmlns:ds="http://schemas.openxmlformats.org/officeDocument/2006/customXml" ds:itemID="{9EACF91E-F36F-476E-9854-ED792D498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2ecbd-a39c-43aa-8b3d-43b91785888a"/>
    <ds:schemaRef ds:uri="2e10e84e-96cd-4d34-9d6d-7e9065caf9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107</TotalTime>
  <Pages>17</Pages>
  <Words>8205</Words>
  <Characters>49646</Characters>
  <Application>Microsoft Office Word</Application>
  <DocSecurity>0</DocSecurity>
  <Lines>680</Lines>
  <Paragraphs>375</Paragraphs>
  <ScaleCrop>false</ScaleCrop>
  <HeadingPairs>
    <vt:vector size="2" baseType="variant">
      <vt:variant>
        <vt:lpstr>Title</vt:lpstr>
      </vt:variant>
      <vt:variant>
        <vt:i4>1</vt:i4>
      </vt:variant>
    </vt:vector>
  </HeadingPairs>
  <TitlesOfParts>
    <vt:vector size="1" baseType="lpstr">
      <vt:lpstr>26-09-Gloves RPP Q&amp;A</vt:lpstr>
    </vt:vector>
  </TitlesOfParts>
  <Company>OCIO-Ops</Company>
  <LinksUpToDate>false</LinksUpToDate>
  <CharactersWithSpaces>57476</CharactersWithSpaces>
  <SharedDoc>false</SharedDoc>
  <HLinks>
    <vt:vector size="12" baseType="variant">
      <vt:variant>
        <vt:i4>327731</vt:i4>
      </vt:variant>
      <vt:variant>
        <vt:i4>3</vt:i4>
      </vt:variant>
      <vt:variant>
        <vt:i4>0</vt:i4>
      </vt:variant>
      <vt:variant>
        <vt:i4>5</vt:i4>
      </vt:variant>
      <vt:variant>
        <vt:lpwstr>mailto:biomapconsortium@ati.org</vt:lpwstr>
      </vt:variant>
      <vt:variant>
        <vt:lpwstr/>
      </vt:variant>
      <vt:variant>
        <vt:i4>4522038</vt:i4>
      </vt:variant>
      <vt:variant>
        <vt:i4>0</vt:i4>
      </vt:variant>
      <vt:variant>
        <vt:i4>0</vt:i4>
      </vt:variant>
      <vt:variant>
        <vt:i4>5</vt:i4>
      </vt:variant>
      <vt:variant>
        <vt:lpwstr>mailto:biomap-contracts@ati.org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26-09-Gloves RPP Q&amp;A</dc:title>
  <dc:subject/>
  <dc:creator>Tingley, James (ASPR/IBMSC)</dc:creator>
  <cp:keywords/>
  <dc:description/>
  <cp:lastModifiedBy>Garee, Kathy</cp:lastModifiedBy>
  <cp:revision>12</cp:revision>
  <dcterms:created xsi:type="dcterms:W3CDTF">2026-09-25T17:11:00Z</dcterms:created>
  <dcterms:modified xsi:type="dcterms:W3CDTF">2026-09-29T14:30:00Z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0x0101004648DE3DAC36494E9436D40CE309A091</vt:lpwstr>
  </property>
  <property fmtid="{D5CDD505-2E9C-101B-9397-08002B2CF9AE}" pid="3" name="MediaServiceImageTags">
    <vt:lpwstr/>
  </property>
  <property fmtid="{D5CDD505-2E9C-101B-9397-08002B2CF9AE}" pid="4" name="TaxCatchAll">
    <vt:lpwstr/>
  </property>
</Properties>
</file>